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AC5DB1">
      <w:pPr>
        <w:rPr>
          <w:rFonts w:hint="eastAsia" w:ascii="黑体" w:hAnsi="宋体" w:eastAsia="黑体"/>
          <w:b/>
        </w:rPr>
      </w:pPr>
      <w:bookmarkStart w:id="1" w:name="_GoBack"/>
      <w:bookmarkEnd w:id="1"/>
      <w:r>
        <w:rPr>
          <w:rFonts w:hint="eastAsia" w:ascii="黑体" w:hAnsi="宋体" w:eastAsia="黑体"/>
          <w:b/>
        </w:rPr>
        <w:t xml:space="preserve"> </w:t>
      </w:r>
    </w:p>
    <w:p w14:paraId="4766B837">
      <w:pPr>
        <w:jc w:val="center"/>
        <w:rPr>
          <w:rFonts w:hint="eastAsia" w:ascii="黑体" w:hAnsi="宋体" w:eastAsia="黑体"/>
          <w:b/>
        </w:rPr>
      </w:pPr>
      <w:r>
        <w:rPr>
          <w:rFonts w:hint="eastAsia" w:ascii="黑体" w:hAnsi="宋体" w:eastAsia="黑体"/>
          <w:b/>
        </w:rPr>
        <w:t xml:space="preserve">                          </w:t>
      </w:r>
    </w:p>
    <w:p w14:paraId="36CA62D2">
      <w:pPr>
        <w:jc w:val="center"/>
        <w:rPr>
          <w:rFonts w:eastAsia="仿宋_GB2312"/>
          <w:b/>
          <w:bCs/>
          <w:sz w:val="28"/>
          <w:szCs w:val="28"/>
        </w:rPr>
      </w:pPr>
      <w:r>
        <w:rPr>
          <w:rFonts w:hint="eastAsia" w:ascii="黑体" w:hAnsi="宋体" w:eastAsia="黑体"/>
          <w:b/>
        </w:rPr>
        <w:t xml:space="preserve">                      合同编号：</w:t>
      </w:r>
    </w:p>
    <w:p w14:paraId="6525634D">
      <w:pPr>
        <w:jc w:val="center"/>
        <w:rPr>
          <w:rFonts w:eastAsia="仿宋_GB2312"/>
          <w:b/>
          <w:bCs/>
          <w:sz w:val="52"/>
          <w:szCs w:val="52"/>
        </w:rPr>
      </w:pPr>
    </w:p>
    <w:p w14:paraId="0D92BDE4">
      <w:pPr>
        <w:jc w:val="center"/>
        <w:rPr>
          <w:rFonts w:eastAsia="仿宋_GB2312"/>
          <w:b/>
          <w:bCs/>
          <w:sz w:val="52"/>
          <w:szCs w:val="52"/>
        </w:rPr>
      </w:pPr>
    </w:p>
    <w:p w14:paraId="665597B1">
      <w:pPr>
        <w:jc w:val="center"/>
        <w:rPr>
          <w:rFonts w:eastAsia="仿宋_GB2312"/>
          <w:b/>
          <w:bCs/>
          <w:sz w:val="52"/>
          <w:szCs w:val="52"/>
        </w:rPr>
      </w:pPr>
    </w:p>
    <w:p w14:paraId="3B81120A">
      <w:pPr>
        <w:jc w:val="center"/>
        <w:rPr>
          <w:rFonts w:eastAsia="仿宋_GB2312"/>
          <w:b/>
          <w:bCs/>
          <w:sz w:val="52"/>
          <w:szCs w:val="52"/>
        </w:rPr>
      </w:pPr>
      <w:r>
        <w:pict>
          <v:shape id="_x0000_i1026" o:spt="75" alt="3" type="#_x0000_t75" style="height:211.3pt;width:229.25pt;" filled="f" o:preferrelative="t" stroked="f" coordsize="21600,21600">
            <v:path/>
            <v:fill on="f" focussize="0,0"/>
            <v:stroke on="f"/>
            <v:imagedata r:id="rId7" cropright="46442f" cropbottom="-4125f" o:title="3"/>
            <o:lock v:ext="edit" aspectratio="t"/>
            <w10:wrap type="none"/>
            <w10:anchorlock/>
          </v:shape>
        </w:pict>
      </w:r>
    </w:p>
    <w:p w14:paraId="38869B64">
      <w:pPr>
        <w:jc w:val="center"/>
        <w:rPr>
          <w:rFonts w:eastAsia="仿宋_GB2312"/>
          <w:b/>
          <w:bCs/>
          <w:sz w:val="52"/>
          <w:szCs w:val="52"/>
        </w:rPr>
      </w:pPr>
    </w:p>
    <w:p w14:paraId="66F19231">
      <w:pPr>
        <w:jc w:val="center"/>
        <w:rPr>
          <w:rFonts w:eastAsia="仿宋_GB2312"/>
          <w:b/>
          <w:bCs/>
          <w:sz w:val="84"/>
          <w:szCs w:val="84"/>
        </w:rPr>
      </w:pPr>
      <w:r>
        <w:rPr>
          <w:rFonts w:eastAsia="仿宋_GB2312"/>
          <w:b/>
          <w:bCs/>
          <w:sz w:val="84"/>
          <w:szCs w:val="84"/>
        </w:rPr>
        <w:t>认 证 合 同</w:t>
      </w:r>
    </w:p>
    <w:p w14:paraId="04F04CBC">
      <w:pPr>
        <w:pStyle w:val="4"/>
        <w:numPr>
          <w:ilvl w:val="2"/>
          <w:numId w:val="0"/>
        </w:numPr>
        <w:jc w:val="center"/>
        <w:rPr>
          <w:rFonts w:eastAsia="仿宋_GB2312"/>
          <w:sz w:val="24"/>
          <w:szCs w:val="24"/>
        </w:rPr>
      </w:pPr>
    </w:p>
    <w:p w14:paraId="27804BB3">
      <w:pPr>
        <w:jc w:val="right"/>
        <w:rPr>
          <w:rFonts w:eastAsia="仿宋_GB2312"/>
          <w:sz w:val="24"/>
          <w:szCs w:val="24"/>
        </w:rPr>
      </w:pPr>
    </w:p>
    <w:p w14:paraId="5A41DF73">
      <w:pPr>
        <w:rPr>
          <w:rFonts w:eastAsia="仿宋_GB2312"/>
          <w:sz w:val="24"/>
          <w:szCs w:val="24"/>
        </w:rPr>
      </w:pPr>
    </w:p>
    <w:p w14:paraId="2AD4DB81">
      <w:pPr>
        <w:wordWrap w:val="0"/>
        <w:rPr>
          <w:rFonts w:eastAsia="仿宋_GB2312"/>
          <w:b/>
          <w:bCs/>
          <w:sz w:val="24"/>
          <w:szCs w:val="24"/>
        </w:rPr>
      </w:pPr>
      <w:r>
        <w:rPr>
          <w:rFonts w:hint="eastAsia" w:eastAsia="仿宋_GB2312"/>
          <w:b/>
          <w:bCs/>
          <w:sz w:val="24"/>
          <w:szCs w:val="24"/>
        </w:rPr>
        <w:t xml:space="preserve"> </w:t>
      </w:r>
    </w:p>
    <w:p w14:paraId="3D356E5B">
      <w:pPr>
        <w:ind w:firstLine="5239" w:firstLineChars="2485"/>
        <w:jc w:val="center"/>
        <w:rPr>
          <w:rFonts w:eastAsia="仿宋_GB2312"/>
          <w:b/>
          <w:bCs/>
        </w:rPr>
      </w:pPr>
      <w:r>
        <w:rPr>
          <w:rFonts w:eastAsia="仿宋_GB2312"/>
          <w:b/>
          <w:bCs/>
        </w:rPr>
        <w:t xml:space="preserve">        </w:t>
      </w:r>
    </w:p>
    <w:p w14:paraId="07DEAF4A">
      <w:pPr>
        <w:spacing w:before="120" w:beforeLines="50"/>
        <w:ind w:firstLine="1506" w:firstLineChars="500"/>
        <w:rPr>
          <w:b/>
          <w:bCs/>
          <w:sz w:val="20"/>
          <w:szCs w:val="20"/>
          <w:u w:val="single"/>
        </w:rPr>
      </w:pPr>
      <w:permStart w:id="0" w:edGrp="everyone"/>
      <w:r>
        <w:rPr>
          <w:b/>
          <w:bCs/>
          <w:sz w:val="30"/>
          <w:szCs w:val="30"/>
        </w:rPr>
        <w:t>甲方（委托方）:</w:t>
      </w:r>
      <w:r>
        <w:rPr>
          <w:rFonts w:hint="eastAsia"/>
          <w:b/>
          <w:bCs/>
          <w:sz w:val="30"/>
          <w:szCs w:val="30"/>
        </w:rPr>
        <w:t xml:space="preserve">  </w:t>
      </w:r>
      <w:r>
        <w:rPr>
          <w:rFonts w:hint="eastAsia"/>
          <w:b/>
          <w:bCs/>
          <w:sz w:val="30"/>
          <w:szCs w:val="30"/>
          <w:u w:val="single"/>
        </w:rPr>
        <w:t xml:space="preserve">                         </w:t>
      </w:r>
    </w:p>
    <w:permEnd w:id="0"/>
    <w:p w14:paraId="049CEB62">
      <w:pPr>
        <w:spacing w:before="120" w:beforeLines="50"/>
        <w:jc w:val="center"/>
        <w:rPr>
          <w:b/>
          <w:bCs/>
          <w:sz w:val="20"/>
          <w:szCs w:val="20"/>
          <w:u w:val="single"/>
        </w:rPr>
      </w:pPr>
    </w:p>
    <w:p w14:paraId="6B75D08D">
      <w:pPr>
        <w:spacing w:before="120" w:beforeLines="50"/>
        <w:ind w:firstLine="402" w:firstLineChars="200"/>
        <w:jc w:val="center"/>
        <w:rPr>
          <w:b/>
          <w:bCs/>
          <w:sz w:val="20"/>
          <w:szCs w:val="20"/>
          <w:u w:val="single"/>
        </w:rPr>
      </w:pPr>
    </w:p>
    <w:p w14:paraId="54B83700">
      <w:pPr>
        <w:spacing w:before="120" w:beforeLines="50"/>
        <w:ind w:firstLine="402" w:firstLineChars="200"/>
        <w:jc w:val="center"/>
        <w:rPr>
          <w:b/>
          <w:bCs/>
          <w:sz w:val="20"/>
          <w:szCs w:val="20"/>
          <w:u w:val="single"/>
        </w:rPr>
      </w:pPr>
    </w:p>
    <w:p w14:paraId="36DA3E3C">
      <w:pPr>
        <w:jc w:val="center"/>
        <w:rPr>
          <w:b/>
          <w:bCs/>
          <w:sz w:val="30"/>
          <w:szCs w:val="30"/>
          <w:u w:val="single"/>
        </w:rPr>
      </w:pPr>
      <w:r>
        <w:rPr>
          <w:b/>
          <w:bCs/>
          <w:sz w:val="30"/>
          <w:szCs w:val="30"/>
        </w:rPr>
        <w:t>乙方（认证方）:</w:t>
      </w:r>
      <w:r>
        <w:rPr>
          <w:b/>
          <w:bCs/>
          <w:sz w:val="20"/>
          <w:szCs w:val="20"/>
          <w:u w:val="single"/>
        </w:rPr>
        <w:t xml:space="preserve">   </w:t>
      </w:r>
      <w:r>
        <w:rPr>
          <w:b/>
          <w:bCs/>
          <w:sz w:val="30"/>
          <w:szCs w:val="30"/>
          <w:u w:val="single"/>
        </w:rPr>
        <w:t xml:space="preserve"> </w:t>
      </w:r>
      <w:r>
        <w:rPr>
          <w:rFonts w:hint="eastAsia"/>
          <w:b/>
          <w:bCs/>
          <w:sz w:val="30"/>
          <w:szCs w:val="30"/>
          <w:u w:val="single"/>
        </w:rPr>
        <w:t xml:space="preserve">中坛（北京）认证服务有限公司 </w:t>
      </w:r>
    </w:p>
    <w:p w14:paraId="55BAE26A">
      <w:pPr>
        <w:spacing w:before="120" w:beforeLines="50" w:after="120" w:afterLines="50"/>
        <w:jc w:val="left"/>
        <w:rPr>
          <w:rFonts w:hint="eastAsia" w:eastAsia="仿宋_GB2312"/>
          <w:b/>
          <w:bCs/>
          <w:sz w:val="30"/>
          <w:szCs w:val="30"/>
        </w:rPr>
      </w:pPr>
    </w:p>
    <w:p w14:paraId="447C5642">
      <w:pPr>
        <w:adjustRightInd w:val="0"/>
        <w:snapToGrid w:val="0"/>
        <w:spacing w:line="360" w:lineRule="auto"/>
        <w:ind w:left="-2" w:leftChars="-1"/>
        <w:rPr>
          <w:rFonts w:hint="eastAsia" w:eastAsia="仿宋_GB2312"/>
          <w:b/>
          <w:bCs/>
          <w:sz w:val="28"/>
          <w:szCs w:val="28"/>
        </w:rPr>
      </w:pPr>
    </w:p>
    <w:p w14:paraId="4ADB6BEB">
      <w:pPr>
        <w:adjustRightInd w:val="0"/>
        <w:snapToGrid w:val="0"/>
        <w:spacing w:line="360" w:lineRule="auto"/>
        <w:ind w:left="-2" w:leftChars="-1"/>
        <w:rPr>
          <w:rFonts w:hint="eastAsia" w:eastAsia="仿宋_GB2312"/>
          <w:b/>
          <w:bCs/>
          <w:sz w:val="28"/>
          <w:szCs w:val="28"/>
        </w:rPr>
      </w:pPr>
    </w:p>
    <w:p w14:paraId="1B15606D">
      <w:pPr>
        <w:adjustRightInd w:val="0"/>
        <w:snapToGrid w:val="0"/>
        <w:spacing w:line="360" w:lineRule="auto"/>
        <w:ind w:firstLine="480" w:firstLineChars="200"/>
        <w:rPr>
          <w:rFonts w:hint="eastAsia" w:eastAsia="仿宋_GB2312"/>
          <w:sz w:val="24"/>
          <w:szCs w:val="24"/>
        </w:rPr>
      </w:pPr>
      <w:r>
        <w:rPr>
          <w:rFonts w:hint="eastAsia" w:eastAsia="仿宋_GB2312"/>
          <w:sz w:val="24"/>
          <w:szCs w:val="24"/>
        </w:rPr>
        <w:t>依据《中华人民共和国民法典》及相关法律法规之规定，合同双方就以下认证项目协商一致,签订本合同并严格履行。</w:t>
      </w:r>
    </w:p>
    <w:p w14:paraId="367C7FA3">
      <w:pPr>
        <w:adjustRightInd w:val="0"/>
        <w:snapToGrid w:val="0"/>
        <w:spacing w:line="360" w:lineRule="auto"/>
        <w:rPr>
          <w:rFonts w:eastAsia="仿宋_GB2312"/>
          <w:sz w:val="24"/>
          <w:szCs w:val="24"/>
        </w:rPr>
      </w:pPr>
      <w:r>
        <w:rPr>
          <w:rFonts w:hint="eastAsia" w:eastAsia="仿宋_GB2312"/>
          <w:sz w:val="24"/>
          <w:szCs w:val="24"/>
        </w:rPr>
        <w:t>一</w:t>
      </w:r>
      <w:permStart w:id="1" w:edGrp="everyone"/>
      <w:r>
        <w:rPr>
          <w:rFonts w:hint="eastAsia" w:eastAsia="仿宋_GB2312"/>
          <w:sz w:val="24"/>
          <w:szCs w:val="24"/>
        </w:rPr>
        <w:t>、认证标准</w:t>
      </w:r>
      <w:r>
        <w:rPr>
          <w:rFonts w:hint="eastAsia" w:eastAsia="仿宋_GB2312"/>
          <w:sz w:val="24"/>
          <w:szCs w:val="24"/>
        </w:rPr>
        <w:tab/>
      </w:r>
    </w:p>
    <w:tbl>
      <w:tblPr>
        <w:tblStyle w:val="21"/>
        <w:tblW w:w="0" w:type="auto"/>
        <w:tblInd w:w="108" w:type="dxa"/>
        <w:tblLayout w:type="autofit"/>
        <w:tblCellMar>
          <w:top w:w="0" w:type="dxa"/>
          <w:left w:w="108" w:type="dxa"/>
          <w:bottom w:w="0" w:type="dxa"/>
          <w:right w:w="108" w:type="dxa"/>
        </w:tblCellMar>
      </w:tblPr>
      <w:tblGrid>
        <w:gridCol w:w="9153"/>
        <w:gridCol w:w="240"/>
        <w:gridCol w:w="240"/>
      </w:tblGrid>
      <w:tr w14:paraId="462D2877">
        <w:tblPrEx>
          <w:tblCellMar>
            <w:top w:w="0" w:type="dxa"/>
            <w:left w:w="108" w:type="dxa"/>
            <w:bottom w:w="0" w:type="dxa"/>
            <w:right w:w="108" w:type="dxa"/>
          </w:tblCellMar>
        </w:tblPrEx>
        <w:tc>
          <w:tcPr>
            <w:tcW w:w="9153" w:type="dxa"/>
            <w:noWrap w:val="0"/>
            <w:vAlign w:val="top"/>
          </w:tcPr>
          <w:p w14:paraId="47CA397D">
            <w:pPr>
              <w:adjustRightInd w:val="0"/>
              <w:snapToGrid w:val="0"/>
              <w:spacing w:line="360" w:lineRule="auto"/>
              <w:rPr>
                <w:rFonts w:hint="eastAsia" w:eastAsia="仿宋_GB2312"/>
                <w:sz w:val="24"/>
                <w:szCs w:val="24"/>
              </w:rPr>
            </w:pPr>
            <w:r>
              <w:rPr>
                <w:rFonts w:hint="eastAsia" w:eastAsia="仿宋_GB2312"/>
                <w:sz w:val="24"/>
                <w:szCs w:val="24"/>
              </w:rPr>
              <w:t xml:space="preserve">□ 质量管理体系 GB/T 19001-2016/ISO9001:2015 </w:t>
            </w:r>
          </w:p>
          <w:p w14:paraId="712261CC">
            <w:pPr>
              <w:adjustRightInd w:val="0"/>
              <w:snapToGrid w:val="0"/>
              <w:spacing w:line="360" w:lineRule="auto"/>
              <w:rPr>
                <w:rFonts w:hint="eastAsia" w:eastAsia="仿宋_GB2312"/>
                <w:sz w:val="24"/>
                <w:szCs w:val="24"/>
              </w:rPr>
            </w:pPr>
            <w:r>
              <w:rPr>
                <w:rFonts w:hint="eastAsia" w:eastAsia="仿宋_GB2312"/>
                <w:sz w:val="24"/>
                <w:szCs w:val="24"/>
              </w:rPr>
              <w:t>□ 环境管理体系 GB/T 24001-2016/ISO14001:2015</w:t>
            </w:r>
          </w:p>
          <w:p w14:paraId="4EC9FF45">
            <w:pPr>
              <w:adjustRightInd w:val="0"/>
              <w:snapToGrid w:val="0"/>
              <w:spacing w:line="360" w:lineRule="auto"/>
              <w:rPr>
                <w:rFonts w:hint="eastAsia" w:eastAsia="仿宋_GB2312"/>
                <w:sz w:val="24"/>
                <w:szCs w:val="24"/>
              </w:rPr>
            </w:pPr>
            <w:r>
              <w:rPr>
                <w:rFonts w:hint="eastAsia" w:eastAsia="仿宋_GB2312"/>
                <w:sz w:val="24"/>
                <w:szCs w:val="24"/>
              </w:rPr>
              <w:t>□ 职业健康安全管理体系 GB/T 45001-2020/ISO45001:2018</w:t>
            </w:r>
          </w:p>
          <w:p w14:paraId="6D97DC76">
            <w:pPr>
              <w:adjustRightInd w:val="0"/>
              <w:snapToGrid w:val="0"/>
              <w:spacing w:line="360" w:lineRule="auto"/>
              <w:rPr>
                <w:rFonts w:hint="eastAsia" w:eastAsia="仿宋_GB2312"/>
                <w:sz w:val="24"/>
                <w:szCs w:val="24"/>
              </w:rPr>
            </w:pPr>
            <w:bookmarkStart w:id="0" w:name="OLE_LINK16"/>
            <w:r>
              <w:rPr>
                <w:rFonts w:hint="eastAsia" w:eastAsia="仿宋_GB2312"/>
                <w:sz w:val="24"/>
                <w:szCs w:val="24"/>
              </w:rPr>
              <w:t>□ 企业知识产权合规管理体系认证 GB/T 29490-2023</w:t>
            </w:r>
            <w:bookmarkEnd w:id="0"/>
          </w:p>
          <w:p w14:paraId="2152BA5B">
            <w:pPr>
              <w:adjustRightInd w:val="0"/>
              <w:snapToGrid w:val="0"/>
              <w:spacing w:line="360" w:lineRule="auto"/>
              <w:rPr>
                <w:rFonts w:hint="eastAsia" w:eastAsia="仿宋_GB2312"/>
                <w:sz w:val="24"/>
                <w:szCs w:val="24"/>
              </w:rPr>
            </w:pPr>
            <w:r>
              <w:rPr>
                <w:rFonts w:hint="eastAsia" w:eastAsia="仿宋_GB2312"/>
                <w:sz w:val="24"/>
                <w:szCs w:val="24"/>
              </w:rPr>
              <w:t>□ 工程建设施工企业质量管理体系</w:t>
            </w:r>
          </w:p>
          <w:p w14:paraId="1215856A">
            <w:pPr>
              <w:adjustRightInd w:val="0"/>
              <w:snapToGrid w:val="0"/>
              <w:spacing w:line="360" w:lineRule="auto"/>
              <w:ind w:firstLine="420" w:firstLineChars="175"/>
              <w:rPr>
                <w:rFonts w:hint="eastAsia" w:eastAsia="仿宋_GB2312"/>
                <w:sz w:val="24"/>
                <w:szCs w:val="24"/>
              </w:rPr>
            </w:pPr>
            <w:r>
              <w:rPr>
                <w:rFonts w:hint="eastAsia" w:eastAsia="仿宋_GB2312"/>
                <w:sz w:val="24"/>
                <w:szCs w:val="24"/>
              </w:rPr>
              <w:t>GB/T 50430-2017和ISO9001:2015 idt GB/T19001-2016</w:t>
            </w:r>
          </w:p>
        </w:tc>
        <w:tc>
          <w:tcPr>
            <w:tcW w:w="240" w:type="dxa"/>
            <w:noWrap w:val="0"/>
            <w:vAlign w:val="top"/>
          </w:tcPr>
          <w:p w14:paraId="665A53BB">
            <w:pPr>
              <w:adjustRightInd w:val="0"/>
              <w:snapToGrid w:val="0"/>
              <w:spacing w:line="360" w:lineRule="auto"/>
              <w:rPr>
                <w:rFonts w:hint="eastAsia" w:eastAsia="仿宋_GB2312"/>
                <w:sz w:val="24"/>
                <w:szCs w:val="24"/>
              </w:rPr>
            </w:pPr>
            <w:r>
              <w:rPr>
                <w:rFonts w:hint="eastAsia" w:eastAsia="仿宋_GB2312"/>
                <w:sz w:val="24"/>
                <w:szCs w:val="24"/>
              </w:rPr>
              <w:t xml:space="preserve"> </w:t>
            </w:r>
          </w:p>
        </w:tc>
        <w:tc>
          <w:tcPr>
            <w:tcW w:w="240" w:type="dxa"/>
            <w:noWrap w:val="0"/>
            <w:vAlign w:val="top"/>
          </w:tcPr>
          <w:p w14:paraId="03068BEA">
            <w:pPr>
              <w:adjustRightInd w:val="0"/>
              <w:snapToGrid w:val="0"/>
              <w:spacing w:line="360" w:lineRule="auto"/>
              <w:rPr>
                <w:rFonts w:hint="eastAsia" w:eastAsia="仿宋_GB2312"/>
                <w:sz w:val="24"/>
                <w:szCs w:val="24"/>
              </w:rPr>
            </w:pPr>
          </w:p>
        </w:tc>
      </w:tr>
      <w:tr w14:paraId="086074B0">
        <w:tblPrEx>
          <w:tblCellMar>
            <w:top w:w="0" w:type="dxa"/>
            <w:left w:w="108" w:type="dxa"/>
            <w:bottom w:w="0" w:type="dxa"/>
            <w:right w:w="108" w:type="dxa"/>
          </w:tblCellMar>
        </w:tblPrEx>
        <w:tc>
          <w:tcPr>
            <w:tcW w:w="9153" w:type="dxa"/>
            <w:noWrap w:val="0"/>
            <w:vAlign w:val="top"/>
          </w:tcPr>
          <w:p w14:paraId="2D936C16">
            <w:pPr>
              <w:adjustRightInd w:val="0"/>
              <w:snapToGrid w:val="0"/>
              <w:spacing w:line="360" w:lineRule="auto"/>
              <w:rPr>
                <w:rFonts w:hint="eastAsia" w:eastAsia="仿宋_GB2312"/>
                <w:sz w:val="24"/>
                <w:szCs w:val="24"/>
              </w:rPr>
            </w:pPr>
            <w:r>
              <w:rPr>
                <w:rFonts w:hint="eastAsia" w:eastAsia="仿宋_GB2312"/>
                <w:sz w:val="24"/>
                <w:szCs w:val="24"/>
              </w:rPr>
              <w:t>□ GB/T 27922-2011 商品售后服务评价体系</w:t>
            </w:r>
          </w:p>
        </w:tc>
        <w:tc>
          <w:tcPr>
            <w:tcW w:w="240" w:type="dxa"/>
            <w:noWrap w:val="0"/>
            <w:vAlign w:val="top"/>
          </w:tcPr>
          <w:p w14:paraId="66499CF7">
            <w:pPr>
              <w:adjustRightInd w:val="0"/>
              <w:snapToGrid w:val="0"/>
              <w:spacing w:line="360" w:lineRule="auto"/>
              <w:rPr>
                <w:rFonts w:hint="eastAsia" w:eastAsia="仿宋_GB2312"/>
                <w:sz w:val="24"/>
                <w:szCs w:val="24"/>
              </w:rPr>
            </w:pPr>
          </w:p>
        </w:tc>
        <w:tc>
          <w:tcPr>
            <w:tcW w:w="240" w:type="dxa"/>
            <w:noWrap w:val="0"/>
            <w:vAlign w:val="top"/>
          </w:tcPr>
          <w:p w14:paraId="5BE8FDDA">
            <w:pPr>
              <w:adjustRightInd w:val="0"/>
              <w:snapToGrid w:val="0"/>
              <w:spacing w:line="360" w:lineRule="auto"/>
              <w:rPr>
                <w:rFonts w:hint="eastAsia" w:eastAsia="仿宋_GB2312"/>
                <w:sz w:val="24"/>
                <w:szCs w:val="24"/>
              </w:rPr>
            </w:pPr>
          </w:p>
        </w:tc>
      </w:tr>
    </w:tbl>
    <w:p w14:paraId="197CAF50">
      <w:pPr>
        <w:adjustRightInd w:val="0"/>
        <w:snapToGrid w:val="0"/>
        <w:spacing w:line="360" w:lineRule="auto"/>
        <w:ind w:left="-2" w:leftChars="-1"/>
        <w:rPr>
          <w:rFonts w:eastAsia="仿宋_GB2312"/>
          <w:b/>
          <w:bCs/>
          <w:sz w:val="28"/>
          <w:szCs w:val="28"/>
        </w:rPr>
      </w:pPr>
      <w:r>
        <w:rPr>
          <w:rFonts w:hint="eastAsia" w:eastAsia="仿宋_GB2312"/>
          <w:b/>
          <w:bCs/>
          <w:sz w:val="28"/>
          <w:szCs w:val="28"/>
        </w:rPr>
        <w:t>二、认证类别</w:t>
      </w:r>
    </w:p>
    <w:p w14:paraId="278C2C79">
      <w:pPr>
        <w:adjustRightInd w:val="0"/>
        <w:snapToGrid w:val="0"/>
        <w:spacing w:line="360" w:lineRule="auto"/>
        <w:rPr>
          <w:rFonts w:hint="eastAsia" w:eastAsia="仿宋_GB2312"/>
          <w:sz w:val="24"/>
          <w:szCs w:val="24"/>
        </w:rPr>
      </w:pPr>
      <w:r>
        <w:rPr>
          <w:rFonts w:hint="eastAsia" w:eastAsia="仿宋_GB2312"/>
          <w:sz w:val="24"/>
          <w:szCs w:val="24"/>
        </w:rPr>
        <w:t xml:space="preserve">  </w:t>
      </w:r>
      <w:r>
        <w:rPr>
          <w:rFonts w:hint="eastAsia" w:eastAsia="仿宋_GB2312"/>
          <w:color w:val="000000"/>
          <w:sz w:val="24"/>
          <w:szCs w:val="24"/>
        </w:rPr>
        <w:t xml:space="preserve">□ </w:t>
      </w:r>
      <w:r>
        <w:rPr>
          <w:rFonts w:hint="eastAsia" w:eastAsia="仿宋_GB2312"/>
          <w:sz w:val="24"/>
          <w:szCs w:val="24"/>
        </w:rPr>
        <w:t xml:space="preserve">初次认证     </w:t>
      </w:r>
      <w:r>
        <w:rPr>
          <w:rFonts w:hint="eastAsia" w:eastAsia="仿宋_GB2312"/>
          <w:color w:val="000000"/>
          <w:sz w:val="24"/>
          <w:szCs w:val="24"/>
        </w:rPr>
        <w:t xml:space="preserve">□ </w:t>
      </w:r>
      <w:r>
        <w:rPr>
          <w:rFonts w:hint="eastAsia" w:eastAsia="仿宋_GB2312"/>
          <w:sz w:val="24"/>
          <w:szCs w:val="24"/>
        </w:rPr>
        <w:t xml:space="preserve">再认证      </w:t>
      </w:r>
      <w:r>
        <w:rPr>
          <w:rFonts w:hint="eastAsia" w:eastAsia="仿宋_GB2312"/>
          <w:color w:val="000000"/>
          <w:sz w:val="24"/>
          <w:szCs w:val="24"/>
        </w:rPr>
        <w:t xml:space="preserve">□ </w:t>
      </w:r>
      <w:r>
        <w:rPr>
          <w:rFonts w:hint="eastAsia" w:eastAsia="仿宋_GB2312"/>
          <w:sz w:val="24"/>
          <w:szCs w:val="24"/>
        </w:rPr>
        <w:t xml:space="preserve">证书转换      </w:t>
      </w:r>
      <w:r>
        <w:rPr>
          <w:rFonts w:hint="eastAsia" w:eastAsia="仿宋_GB2312"/>
          <w:color w:val="000000"/>
          <w:sz w:val="24"/>
          <w:szCs w:val="24"/>
        </w:rPr>
        <w:t xml:space="preserve">□ </w:t>
      </w:r>
      <w:r>
        <w:rPr>
          <w:rFonts w:hint="eastAsia" w:eastAsia="仿宋_GB2312"/>
          <w:sz w:val="24"/>
          <w:szCs w:val="24"/>
        </w:rPr>
        <w:t>其他</w:t>
      </w:r>
    </w:p>
    <w:p w14:paraId="3279002B">
      <w:pPr>
        <w:adjustRightInd w:val="0"/>
        <w:snapToGrid w:val="0"/>
        <w:spacing w:line="360" w:lineRule="auto"/>
        <w:ind w:left="-2" w:leftChars="-1"/>
        <w:rPr>
          <w:rFonts w:eastAsia="仿宋_GB2312"/>
          <w:b/>
          <w:bCs/>
          <w:sz w:val="28"/>
          <w:szCs w:val="28"/>
        </w:rPr>
      </w:pPr>
      <w:r>
        <w:rPr>
          <w:rFonts w:hint="eastAsia" w:eastAsia="仿宋_GB2312"/>
          <w:b/>
          <w:bCs/>
          <w:sz w:val="28"/>
          <w:szCs w:val="28"/>
        </w:rPr>
        <w:t>三、认证范围：</w:t>
      </w:r>
    </w:p>
    <w:p w14:paraId="3C64C549">
      <w:pPr>
        <w:adjustRightInd w:val="0"/>
        <w:snapToGrid w:val="0"/>
        <w:spacing w:line="360" w:lineRule="auto"/>
        <w:rPr>
          <w:rFonts w:hint="eastAsia" w:eastAsia="仿宋_GB2312"/>
          <w:sz w:val="24"/>
          <w:szCs w:val="24"/>
          <w:u w:val="single"/>
        </w:rPr>
      </w:pPr>
      <w:r>
        <w:rPr>
          <w:rFonts w:hint="eastAsia" w:eastAsia="仿宋_GB2312"/>
          <w:sz w:val="24"/>
          <w:szCs w:val="24"/>
        </w:rPr>
        <w:t>甲方申请认证的管理体系范围暂定为（现场审核后将最终协商确定）:</w:t>
      </w:r>
      <w:r>
        <w:rPr>
          <w:rFonts w:hint="eastAsia" w:eastAsia="仿宋_GB2312"/>
          <w:sz w:val="24"/>
          <w:szCs w:val="24"/>
          <w:u w:val="single"/>
        </w:rPr>
        <w:t xml:space="preserve">                    </w:t>
      </w:r>
    </w:p>
    <w:p w14:paraId="7CEF00DC">
      <w:pPr>
        <w:adjustRightInd w:val="0"/>
        <w:snapToGrid w:val="0"/>
        <w:spacing w:line="360" w:lineRule="auto"/>
        <w:rPr>
          <w:rFonts w:hint="eastAsia" w:eastAsia="仿宋_GB2312"/>
          <w:sz w:val="24"/>
          <w:szCs w:val="24"/>
          <w:u w:val="single"/>
        </w:rPr>
      </w:pPr>
      <w:r>
        <w:rPr>
          <w:rFonts w:hint="eastAsia" w:eastAsia="仿宋_GB2312"/>
          <w:sz w:val="24"/>
          <w:szCs w:val="24"/>
          <w:u w:val="single"/>
        </w:rPr>
        <w:t xml:space="preserve">                                                                                </w:t>
      </w:r>
    </w:p>
    <w:p w14:paraId="1DB61B17">
      <w:pPr>
        <w:adjustRightInd w:val="0"/>
        <w:snapToGrid w:val="0"/>
        <w:spacing w:line="360" w:lineRule="auto"/>
        <w:rPr>
          <w:rFonts w:hint="eastAsia" w:eastAsia="仿宋_GB2312"/>
          <w:sz w:val="24"/>
          <w:szCs w:val="24"/>
          <w:u w:val="single"/>
        </w:rPr>
      </w:pPr>
    </w:p>
    <w:p w14:paraId="29EC033A">
      <w:pPr>
        <w:numPr>
          <w:ilvl w:val="0"/>
          <w:numId w:val="2"/>
        </w:numPr>
        <w:adjustRightInd w:val="0"/>
        <w:snapToGrid w:val="0"/>
        <w:spacing w:line="360" w:lineRule="auto"/>
        <w:ind w:left="-2" w:leftChars="-1"/>
        <w:rPr>
          <w:rFonts w:hint="eastAsia" w:eastAsia="仿宋_GB2312"/>
          <w:b/>
          <w:bCs/>
          <w:sz w:val="28"/>
          <w:szCs w:val="28"/>
        </w:rPr>
      </w:pPr>
      <w:r>
        <w:rPr>
          <w:rFonts w:hint="eastAsia" w:eastAsia="仿宋_GB2312"/>
          <w:b/>
          <w:bCs/>
          <w:sz w:val="28"/>
          <w:szCs w:val="28"/>
        </w:rPr>
        <w:t>认证费用</w:t>
      </w:r>
    </w:p>
    <w:p w14:paraId="07DF5D88">
      <w:pPr>
        <w:widowControl/>
        <w:numPr>
          <w:ilvl w:val="0"/>
          <w:numId w:val="3"/>
        </w:numPr>
        <w:spacing w:line="360" w:lineRule="auto"/>
        <w:jc w:val="left"/>
        <w:rPr>
          <w:rFonts w:hint="eastAsia" w:eastAsia="仿宋_GB2312"/>
          <w:color w:val="000000"/>
          <w:sz w:val="24"/>
          <w:szCs w:val="24"/>
        </w:rPr>
      </w:pPr>
      <w:r>
        <w:rPr>
          <w:rFonts w:hint="eastAsia" w:eastAsia="仿宋_GB2312"/>
          <w:color w:val="000000"/>
          <w:sz w:val="24"/>
          <w:szCs w:val="24"/>
        </w:rPr>
        <w:t>甲方应向乙方交纳：</w:t>
      </w:r>
    </w:p>
    <w:p w14:paraId="5C2958B4">
      <w:pPr>
        <w:widowControl/>
        <w:numPr>
          <w:ilvl w:val="0"/>
          <w:numId w:val="4"/>
        </w:numPr>
        <w:spacing w:line="360" w:lineRule="auto"/>
        <w:jc w:val="left"/>
        <w:rPr>
          <w:rFonts w:hint="eastAsia" w:eastAsia="仿宋_GB2312"/>
          <w:color w:val="000000"/>
          <w:sz w:val="24"/>
          <w:szCs w:val="24"/>
          <w:highlight w:val="none"/>
        </w:rPr>
      </w:pPr>
      <w:r>
        <w:rPr>
          <w:rFonts w:hint="eastAsia" w:eastAsia="仿宋_GB2312"/>
          <w:color w:val="000000"/>
          <w:sz w:val="24"/>
          <w:szCs w:val="24"/>
          <w:highlight w:val="none"/>
        </w:rPr>
        <w:t xml:space="preserve">初次认证费用：共计 </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 万 </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仟 </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 佰</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 拾  </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元 (¥  </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 元）</w:t>
      </w:r>
    </w:p>
    <w:p w14:paraId="7ABCE1AB">
      <w:pPr>
        <w:widowControl/>
        <w:spacing w:line="360" w:lineRule="auto"/>
        <w:ind w:firstLine="720" w:firstLineChars="300"/>
        <w:jc w:val="left"/>
        <w:rPr>
          <w:rFonts w:hint="eastAsia" w:eastAsia="仿宋_GB2312"/>
          <w:color w:val="000000"/>
          <w:sz w:val="24"/>
          <w:szCs w:val="24"/>
          <w:highlight w:val="none"/>
        </w:rPr>
      </w:pPr>
      <w:r>
        <w:rPr>
          <w:rFonts w:hint="eastAsia" w:eastAsia="仿宋_GB2312"/>
          <w:color w:val="000000"/>
          <w:sz w:val="24"/>
          <w:szCs w:val="24"/>
          <w:highlight w:val="none"/>
        </w:rPr>
        <w:t>签订认证合同后，甲方需在审核前一次性支付所有初次认证费用。</w:t>
      </w:r>
    </w:p>
    <w:p w14:paraId="0A5A2A0D">
      <w:pPr>
        <w:widowControl/>
        <w:numPr>
          <w:ilvl w:val="0"/>
          <w:numId w:val="4"/>
        </w:numPr>
        <w:spacing w:line="360" w:lineRule="auto"/>
        <w:jc w:val="left"/>
        <w:rPr>
          <w:rFonts w:hint="eastAsia" w:eastAsia="仿宋_GB2312"/>
          <w:color w:val="000000"/>
          <w:sz w:val="24"/>
          <w:szCs w:val="24"/>
          <w:highlight w:val="none"/>
        </w:rPr>
      </w:pPr>
      <w:r>
        <w:rPr>
          <w:rFonts w:hint="eastAsia" w:eastAsia="仿宋_GB2312"/>
          <w:color w:val="000000"/>
          <w:sz w:val="24"/>
          <w:szCs w:val="24"/>
          <w:highlight w:val="none"/>
        </w:rPr>
        <w:t xml:space="preserve">每年监督费用：共计 </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万 </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 仟</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 佰</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 拾 </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元 (¥ </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元）</w:t>
      </w:r>
    </w:p>
    <w:p w14:paraId="2F518128">
      <w:pPr>
        <w:widowControl/>
        <w:spacing w:line="360" w:lineRule="auto"/>
        <w:ind w:firstLine="720" w:firstLineChars="300"/>
        <w:jc w:val="left"/>
        <w:rPr>
          <w:rFonts w:hint="eastAsia" w:eastAsia="仿宋_GB2312"/>
          <w:color w:val="000000"/>
          <w:sz w:val="24"/>
          <w:szCs w:val="24"/>
          <w:highlight w:val="none"/>
        </w:rPr>
      </w:pPr>
      <w:r>
        <w:rPr>
          <w:rFonts w:hint="eastAsia" w:eastAsia="仿宋_GB2312"/>
          <w:color w:val="000000"/>
          <w:sz w:val="24"/>
          <w:szCs w:val="24"/>
          <w:highlight w:val="none"/>
        </w:rPr>
        <w:t>监督审核费应于每次监督审核前一次性支付给乙方。</w:t>
      </w:r>
    </w:p>
    <w:p w14:paraId="22821D48">
      <w:pPr>
        <w:widowControl/>
        <w:numPr>
          <w:ilvl w:val="0"/>
          <w:numId w:val="4"/>
        </w:numPr>
        <w:spacing w:line="360" w:lineRule="auto"/>
        <w:jc w:val="left"/>
        <w:rPr>
          <w:rFonts w:hint="eastAsia" w:eastAsia="仿宋_GB2312"/>
          <w:color w:val="000000"/>
          <w:sz w:val="24"/>
          <w:szCs w:val="24"/>
          <w:highlight w:val="none"/>
        </w:rPr>
      </w:pPr>
      <w:r>
        <w:rPr>
          <w:rFonts w:hint="eastAsia" w:eastAsia="仿宋_GB2312"/>
          <w:color w:val="000000"/>
          <w:sz w:val="24"/>
          <w:szCs w:val="24"/>
          <w:highlight w:val="none"/>
        </w:rPr>
        <w:t xml:space="preserve">再认证认证费用： </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 万 </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仟 </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 佰</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 拾  </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元 (¥  </w:t>
      </w:r>
      <w:r>
        <w:rPr>
          <w:rFonts w:hint="eastAsia" w:eastAsia="仿宋_GB2312"/>
          <w:color w:val="000000"/>
          <w:sz w:val="24"/>
          <w:szCs w:val="24"/>
          <w:highlight w:val="none"/>
          <w:u w:val="single"/>
        </w:rPr>
        <w:t xml:space="preserve">   </w:t>
      </w:r>
      <w:r>
        <w:rPr>
          <w:rFonts w:hint="eastAsia" w:eastAsia="仿宋_GB2312"/>
          <w:color w:val="000000"/>
          <w:sz w:val="24"/>
          <w:szCs w:val="24"/>
          <w:highlight w:val="none"/>
        </w:rPr>
        <w:t xml:space="preserve"> 元）</w:t>
      </w:r>
    </w:p>
    <w:p w14:paraId="4F73D9E8">
      <w:pPr>
        <w:widowControl/>
        <w:spacing w:line="360" w:lineRule="auto"/>
        <w:ind w:firstLine="720" w:firstLineChars="300"/>
        <w:jc w:val="left"/>
        <w:rPr>
          <w:rFonts w:hint="eastAsia" w:eastAsia="仿宋_GB2312"/>
          <w:color w:val="000000"/>
          <w:sz w:val="24"/>
          <w:szCs w:val="24"/>
          <w:highlight w:val="none"/>
        </w:rPr>
      </w:pPr>
      <w:r>
        <w:rPr>
          <w:rFonts w:hint="eastAsia" w:eastAsia="仿宋_GB2312"/>
          <w:color w:val="000000"/>
          <w:sz w:val="24"/>
          <w:szCs w:val="24"/>
          <w:highlight w:val="none"/>
        </w:rPr>
        <w:t>签订再认证合同后，甲方需在审核前一次性支付所有再认证费用。</w:t>
      </w:r>
    </w:p>
    <w:permEnd w:id="1"/>
    <w:p w14:paraId="40FCF91A">
      <w:pPr>
        <w:widowControl/>
        <w:numPr>
          <w:ilvl w:val="0"/>
          <w:numId w:val="3"/>
        </w:numPr>
        <w:spacing w:line="360" w:lineRule="auto"/>
        <w:jc w:val="left"/>
        <w:rPr>
          <w:rFonts w:hint="eastAsia" w:eastAsia="仿宋_GB2312"/>
          <w:color w:val="000000"/>
          <w:sz w:val="24"/>
          <w:szCs w:val="24"/>
        </w:rPr>
      </w:pPr>
      <w:r>
        <w:rPr>
          <w:rFonts w:hint="eastAsia" w:eastAsia="仿宋_GB2312"/>
          <w:color w:val="000000"/>
          <w:sz w:val="24"/>
          <w:szCs w:val="24"/>
        </w:rPr>
        <w:t>其他费用：</w:t>
      </w:r>
    </w:p>
    <w:p w14:paraId="1E1F3AA2">
      <w:pPr>
        <w:widowControl/>
        <w:spacing w:line="360" w:lineRule="auto"/>
        <w:jc w:val="left"/>
        <w:rPr>
          <w:rFonts w:hint="eastAsia" w:eastAsia="仿宋_GB2312"/>
          <w:color w:val="000000"/>
          <w:sz w:val="24"/>
          <w:szCs w:val="24"/>
        </w:rPr>
      </w:pPr>
      <w:r>
        <w:rPr>
          <w:rFonts w:hint="eastAsia" w:eastAsia="仿宋_GB2312"/>
          <w:color w:val="000000"/>
          <w:sz w:val="24"/>
          <w:szCs w:val="24"/>
        </w:rPr>
        <w:t>（1）如需特殊审核，甲乙双方商定签订补充协议确定费用。</w:t>
      </w:r>
    </w:p>
    <w:p w14:paraId="0C3CE508">
      <w:pPr>
        <w:widowControl/>
        <w:spacing w:line="360" w:lineRule="auto"/>
        <w:jc w:val="left"/>
        <w:rPr>
          <w:rFonts w:hint="eastAsia" w:eastAsia="仿宋_GB2312"/>
          <w:color w:val="000000"/>
          <w:sz w:val="24"/>
          <w:szCs w:val="24"/>
        </w:rPr>
      </w:pPr>
      <w:r>
        <w:rPr>
          <w:rFonts w:hint="eastAsia" w:eastAsia="仿宋_GB2312"/>
          <w:color w:val="000000"/>
          <w:sz w:val="24"/>
          <w:szCs w:val="24"/>
        </w:rPr>
        <w:t>（2）以上费用均不包含乙方派出人员进行现场审核的食宿、交通等费用，该费用按实际支出由甲方承担。</w:t>
      </w:r>
    </w:p>
    <w:p w14:paraId="0DFA8C22">
      <w:pPr>
        <w:widowControl/>
        <w:spacing w:line="360" w:lineRule="auto"/>
        <w:jc w:val="left"/>
        <w:rPr>
          <w:rFonts w:hint="eastAsia" w:eastAsia="仿宋_GB2312"/>
          <w:color w:val="000000"/>
          <w:sz w:val="24"/>
          <w:szCs w:val="24"/>
        </w:rPr>
      </w:pPr>
      <w:r>
        <w:rPr>
          <w:rFonts w:hint="eastAsia" w:eastAsia="仿宋_GB2312"/>
          <w:color w:val="000000"/>
          <w:sz w:val="24"/>
          <w:szCs w:val="24"/>
        </w:rPr>
        <w:t>（3）甲方申请加印证书正/副本，每张收费</w:t>
      </w:r>
      <w:r>
        <w:rPr>
          <w:rFonts w:eastAsia="仿宋_GB2312"/>
          <w:color w:val="000000"/>
          <w:sz w:val="24"/>
          <w:szCs w:val="24"/>
        </w:rPr>
        <w:t>¥</w:t>
      </w:r>
      <w:r>
        <w:rPr>
          <w:rFonts w:hint="eastAsia" w:eastAsia="仿宋_GB2312"/>
          <w:color w:val="000000"/>
          <w:sz w:val="24"/>
          <w:szCs w:val="24"/>
        </w:rPr>
        <w:t>100元。</w:t>
      </w:r>
    </w:p>
    <w:p w14:paraId="365DE84C">
      <w:pPr>
        <w:widowControl/>
        <w:spacing w:line="360" w:lineRule="auto"/>
        <w:jc w:val="left"/>
        <w:rPr>
          <w:rFonts w:eastAsia="仿宋_GB2312"/>
          <w:color w:val="000000"/>
          <w:sz w:val="24"/>
          <w:szCs w:val="24"/>
        </w:rPr>
      </w:pPr>
      <w:r>
        <w:rPr>
          <w:rFonts w:hint="eastAsia" w:eastAsia="仿宋_GB2312"/>
          <w:color w:val="000000"/>
          <w:sz w:val="24"/>
          <w:szCs w:val="24"/>
        </w:rPr>
        <w:t>（</w:t>
      </w:r>
      <w:permStart w:id="2" w:edGrp="everyone"/>
      <w:r>
        <w:rPr>
          <w:rFonts w:hint="eastAsia" w:eastAsia="仿宋_GB2312"/>
          <w:color w:val="000000"/>
          <w:sz w:val="24"/>
          <w:szCs w:val="24"/>
        </w:rPr>
        <w:t>4）其它约定费用：</w:t>
      </w:r>
      <w:r>
        <w:rPr>
          <w:rFonts w:hint="eastAsia" w:eastAsia="仿宋_GB2312"/>
          <w:color w:val="000000"/>
          <w:sz w:val="24"/>
          <w:szCs w:val="24"/>
          <w:u w:val="single"/>
        </w:rPr>
        <w:t xml:space="preserve">             /                               </w:t>
      </w:r>
      <w:r>
        <w:rPr>
          <w:rFonts w:hint="eastAsia" w:eastAsia="仿宋_GB2312"/>
          <w:color w:val="000000"/>
          <w:sz w:val="24"/>
          <w:szCs w:val="24"/>
        </w:rPr>
        <w:t>。</w:t>
      </w:r>
    </w:p>
    <w:permEnd w:id="2"/>
    <w:p w14:paraId="3BF5D8E5">
      <w:pPr>
        <w:widowControl/>
        <w:spacing w:line="360" w:lineRule="auto"/>
        <w:jc w:val="left"/>
        <w:rPr>
          <w:rFonts w:hint="eastAsia" w:eastAsia="仿宋_GB2312"/>
          <w:color w:val="000000"/>
          <w:sz w:val="24"/>
          <w:szCs w:val="24"/>
        </w:rPr>
      </w:pPr>
      <w:r>
        <w:rPr>
          <w:rFonts w:hint="eastAsia" w:eastAsia="仿宋_GB2312"/>
          <w:color w:val="000000"/>
          <w:sz w:val="24"/>
          <w:szCs w:val="24"/>
        </w:rPr>
        <w:t>3. 由于乙方原因造成审核人日或费用的增加，其增加部分应由乙方承担。</w:t>
      </w:r>
    </w:p>
    <w:p w14:paraId="506E6775">
      <w:pPr>
        <w:widowControl/>
        <w:spacing w:line="360" w:lineRule="auto"/>
        <w:jc w:val="left"/>
        <w:rPr>
          <w:rFonts w:hint="eastAsia" w:eastAsia="仿宋_GB2312"/>
          <w:color w:val="000000"/>
          <w:sz w:val="24"/>
          <w:szCs w:val="24"/>
        </w:rPr>
      </w:pPr>
      <w:r>
        <w:rPr>
          <w:rFonts w:hint="eastAsia" w:eastAsia="仿宋_GB2312"/>
          <w:color w:val="000000"/>
          <w:sz w:val="24"/>
          <w:szCs w:val="24"/>
        </w:rPr>
        <w:t>4. 由于甲方原因造成审核人日或费用的增加，其增加部分应由甲方承担。</w:t>
      </w:r>
    </w:p>
    <w:p w14:paraId="3881F04E">
      <w:pPr>
        <w:widowControl/>
        <w:spacing w:line="360" w:lineRule="auto"/>
        <w:jc w:val="left"/>
        <w:rPr>
          <w:rFonts w:eastAsia="仿宋_GB2312"/>
          <w:color w:val="000000"/>
          <w:sz w:val="24"/>
          <w:szCs w:val="24"/>
        </w:rPr>
      </w:pPr>
      <w:r>
        <w:rPr>
          <w:rFonts w:hint="eastAsia" w:eastAsia="仿宋_GB2312"/>
          <w:color w:val="000000"/>
          <w:sz w:val="24"/>
          <w:szCs w:val="24"/>
        </w:rPr>
        <w:t>5. 由于公认的不可抗拒原因影响认证计划不能正常进行，由此而增加的费用由双方协商解决。</w:t>
      </w:r>
    </w:p>
    <w:p w14:paraId="3048B310">
      <w:pPr>
        <w:numPr>
          <w:ilvl w:val="0"/>
          <w:numId w:val="2"/>
        </w:numPr>
        <w:adjustRightInd w:val="0"/>
        <w:snapToGrid w:val="0"/>
        <w:spacing w:line="360" w:lineRule="auto"/>
        <w:ind w:left="-2" w:leftChars="-1"/>
        <w:rPr>
          <w:rFonts w:hint="eastAsia" w:eastAsia="仿宋_GB2312"/>
          <w:b/>
          <w:bCs/>
          <w:sz w:val="28"/>
          <w:szCs w:val="28"/>
        </w:rPr>
      </w:pPr>
      <w:r>
        <w:rPr>
          <w:rFonts w:hint="eastAsia" w:eastAsia="仿宋_GB2312"/>
          <w:b/>
          <w:bCs/>
          <w:sz w:val="28"/>
          <w:szCs w:val="28"/>
        </w:rPr>
        <w:t>甲方的责任和权力</w:t>
      </w:r>
    </w:p>
    <w:p w14:paraId="6CAD03DC">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1、甲方遵守国家认证法律和有关认证认可行政法规的规定，协助认证监督部门的监督检查，对有关事项的询问和调查如实提供相关材料和信息。</w:t>
      </w:r>
    </w:p>
    <w:p w14:paraId="3899924C">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2、按申请文件、认证方案的要求，提供真实有效的信息和记录，</w:t>
      </w:r>
      <w:r>
        <w:rPr>
          <w:rFonts w:hint="eastAsia" w:ascii="仿宋" w:hAnsi="仿宋" w:eastAsia="仿宋" w:cs="仿宋"/>
          <w:bCs/>
          <w:sz w:val="24"/>
          <w:szCs w:val="24"/>
        </w:rPr>
        <w:t>承担</w:t>
      </w:r>
      <w:r>
        <w:rPr>
          <w:rFonts w:hint="eastAsia" w:ascii="仿宋" w:hAnsi="仿宋" w:eastAsia="仿宋" w:cs="仿宋"/>
          <w:bCs/>
          <w:color w:val="000000"/>
          <w:sz w:val="24"/>
          <w:szCs w:val="24"/>
        </w:rPr>
        <w:t>由于提交的材料不实而产生的一切后果。</w:t>
      </w:r>
    </w:p>
    <w:p w14:paraId="1F804979">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3、为现场审核组提供必要的交通、食宿、通讯、办公场所及其他必要的工作条件。</w:t>
      </w:r>
    </w:p>
    <w:p w14:paraId="1ECC12F9">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4、提供至少三个月的体系/服务运行的有效证据（需运行3个月以上的按相关规定执行），且体系运行过程中进行过至少一次内部审核和管理评审。</w:t>
      </w:r>
    </w:p>
    <w:p w14:paraId="311AD84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sz w:val="24"/>
          <w:szCs w:val="24"/>
        </w:rPr>
        <w:t>5、按合同约定向乙方支付本合同规定的费用，</w:t>
      </w:r>
      <w:r>
        <w:rPr>
          <w:rFonts w:hint="eastAsia" w:ascii="仿宋" w:hAnsi="仿宋" w:eastAsia="仿宋" w:cs="仿宋"/>
          <w:color w:val="000000"/>
          <w:kern w:val="0"/>
          <w:sz w:val="24"/>
          <w:szCs w:val="24"/>
          <w:lang w:bidi="ar"/>
        </w:rPr>
        <w:t xml:space="preserve">由于不按期支付或不按约定接受审核，所造成 </w:t>
      </w:r>
    </w:p>
    <w:p w14:paraId="161183E4">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审核不能如期实施、证书暂停、撤销的后果由甲方承担。</w:t>
      </w:r>
    </w:p>
    <w:p w14:paraId="7323C042">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6、对乙方的现场审核、审核结论、审核人员的行为、审核的公正性及泄露甲方机密等违纪行为，甲方有权向乙方申诉/投诉, 如对处理结果仍持异议, 可向各级主管部门举报或申诉/投诉。</w:t>
      </w:r>
    </w:p>
    <w:p w14:paraId="14B52933">
      <w:pPr>
        <w:widowControl/>
        <w:spacing w:line="360" w:lineRule="auto"/>
        <w:jc w:val="left"/>
        <w:rPr>
          <w:rFonts w:ascii="仿宋" w:hAnsi="仿宋" w:eastAsia="仿宋" w:cs="仿宋"/>
          <w:color w:val="000000"/>
          <w:sz w:val="24"/>
          <w:szCs w:val="24"/>
          <w:highlight w:val="none"/>
        </w:rPr>
      </w:pPr>
      <w:r>
        <w:rPr>
          <w:rFonts w:hint="eastAsia" w:ascii="仿宋" w:hAnsi="仿宋" w:eastAsia="仿宋" w:cs="仿宋"/>
          <w:sz w:val="24"/>
          <w:szCs w:val="24"/>
        </w:rPr>
        <w:t>7、甲方获证后持续有效运行管理体系/服务承诺</w:t>
      </w:r>
      <w:r>
        <w:rPr>
          <w:rFonts w:hint="eastAsia" w:ascii="仿宋" w:hAnsi="仿宋" w:eastAsia="仿宋" w:cs="仿宋"/>
          <w:sz w:val="24"/>
          <w:szCs w:val="24"/>
          <w:highlight w:val="none"/>
        </w:rPr>
        <w:t>。在证书有效期内，接受并配合乙方实施监督审核。在一个为期三年的认证周期里，初次认证后的第一次监督应在认证证书签发之日起12个月内进行，此后，监督审核间隔不应超过12个月。甲方应按本合同约定支付相应的监督审核费用。</w:t>
      </w:r>
    </w:p>
    <w:p w14:paraId="70E508F7">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rPr>
        <w:t>8、正确使用认证证书、认证标志和有关信息、正确对外广告宣传其获得认证注册资格，不擅自利用管理体系认证证书和相关文字、符号误导公众认为其产品或服务通过认证，不损害认证机构的声誉。</w:t>
      </w:r>
    </w:p>
    <w:p w14:paraId="48D9CB45">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9、在证书有效期内，发生重要变化</w:t>
      </w:r>
      <w:r>
        <w:rPr>
          <w:rFonts w:hint="eastAsia" w:ascii="仿宋" w:hAnsi="仿宋" w:eastAsia="仿宋" w:cs="仿宋"/>
          <w:sz w:val="24"/>
          <w:szCs w:val="24"/>
        </w:rPr>
        <w:t>（如：客户及相关方有重大投诉；生产的产品或服务被执法监管部门认定不符合法定要求；发生产品或服务质量安全事故、环境事故、安全事故、食品安全事故；法律地位、生产经营状况、组织状态或所有权变更；取得的行政许可资格、强制性认证或其他资质证书变更；法定代表人、最高管理者、管理者代表变更；生产经营或服务的工作场所变更；管理体系覆盖的活动范围变更；管理体系和重要过程的重大变更；出现影响管理体系/服务运行的其他重要情况）。</w:t>
      </w:r>
      <w:r>
        <w:rPr>
          <w:rFonts w:hint="eastAsia" w:ascii="仿宋" w:hAnsi="仿宋" w:eastAsia="仿宋" w:cs="仿宋"/>
          <w:color w:val="000000"/>
          <w:sz w:val="24"/>
          <w:szCs w:val="24"/>
        </w:rPr>
        <w:t>应在一周内向乙方报告，由乙方按规定决定是否重新进行审核或采取其他措施。甲方未及时通知乙方时，乙方保留给予暂停、撤销认证证书的权利。</w:t>
      </w:r>
    </w:p>
    <w:p w14:paraId="1F2F1871">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10、出现认证方案规定的重大问题及时报告乙方，持有的认证证书被暂停后要立即停止使用认证证书和认证标志，并停止有关认证内容的广告和宣传。</w:t>
      </w:r>
    </w:p>
    <w:p w14:paraId="1CA88192">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11、持有的认证证书被撤销后，停止使用并向乙方交还证书，停止有关认证内容的广告和宣传。</w:t>
      </w:r>
    </w:p>
    <w:p w14:paraId="19A671F8">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12、按时接受认证注册后的监督审核和相关认可机构实施的见证评审和非例行的临时调查、稽查审核、确认审核，并提供相关的资源，确认以上审核活动顺利完成。如甲方拒绝确认审核、见证审核、非例行的临时调查、稽查审核，乙方有权对甲方认证注册资格暂停直至撤销，并通知国家认监委、认可机构和地方认证监管部门。</w:t>
      </w:r>
    </w:p>
    <w:p w14:paraId="0771AEF0">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13、甲方对乙方关于认证的暂停、注销和撤销决定有权提出申诉，有权对不规范的认证行为提出投诉。</w:t>
      </w:r>
    </w:p>
    <w:p w14:paraId="7F6757E7">
      <w:pPr>
        <w:spacing w:line="360" w:lineRule="auto"/>
        <w:ind w:left="480" w:hanging="480" w:hangingChars="200"/>
        <w:rPr>
          <w:rFonts w:hint="eastAsia" w:ascii="仿宋" w:hAnsi="仿宋" w:eastAsia="仿宋" w:cs="仿宋"/>
          <w:sz w:val="24"/>
          <w:szCs w:val="24"/>
        </w:rPr>
      </w:pPr>
      <w:r>
        <w:rPr>
          <w:rFonts w:hint="eastAsia" w:ascii="仿宋" w:hAnsi="仿宋" w:eastAsia="仿宋" w:cs="仿宋"/>
          <w:sz w:val="24"/>
          <w:szCs w:val="24"/>
        </w:rPr>
        <w:t>14、甲方了解所有条款，并同意遵守乙方的所有认证要求。</w:t>
      </w:r>
    </w:p>
    <w:p w14:paraId="6973C123">
      <w:pPr>
        <w:adjustRightInd w:val="0"/>
        <w:snapToGrid w:val="0"/>
        <w:spacing w:line="360" w:lineRule="auto"/>
        <w:ind w:left="-2" w:leftChars="-1"/>
        <w:rPr>
          <w:rFonts w:eastAsia="仿宋_GB2312"/>
          <w:b/>
          <w:bCs/>
          <w:sz w:val="28"/>
          <w:szCs w:val="28"/>
        </w:rPr>
      </w:pPr>
      <w:r>
        <w:rPr>
          <w:rFonts w:hint="eastAsia" w:eastAsia="仿宋_GB2312"/>
          <w:b/>
          <w:bCs/>
          <w:sz w:val="28"/>
          <w:szCs w:val="28"/>
        </w:rPr>
        <w:t>六、乙方的责任和权力</w:t>
      </w:r>
    </w:p>
    <w:p w14:paraId="6BECDC96">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1、严格遵守国家有关体系认证的法律法规，客观、公正地实施认证以及认证后的监督，对认证决定负责。</w:t>
      </w:r>
    </w:p>
    <w:p w14:paraId="1CF274C8">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2、如在审核进程中发现的严重不符合，需现场验证或补充审核，则相关费用由甲方另行支付。</w:t>
      </w:r>
    </w:p>
    <w:p w14:paraId="11E29807">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3、通过审核及相关活动证明满足认证要求后，向甲方颁发认证证书/允许其使用认证标志。</w:t>
      </w:r>
    </w:p>
    <w:p w14:paraId="2A02BC09">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4、如甲方无正当理由，在审核过程中提出终止审核，乙方有权要求甲方支付全部费用。</w:t>
      </w:r>
    </w:p>
    <w:p w14:paraId="1C5EDF46">
      <w:pPr>
        <w:widowControl/>
        <w:spacing w:line="360" w:lineRule="auto"/>
        <w:jc w:val="left"/>
        <w:rPr>
          <w:rFonts w:hint="eastAsia" w:ascii="仿宋" w:hAnsi="仿宋" w:eastAsia="仿宋" w:cs="仿宋"/>
          <w:b/>
          <w:bCs/>
          <w:color w:val="000000"/>
          <w:sz w:val="24"/>
          <w:szCs w:val="24"/>
        </w:rPr>
      </w:pPr>
      <w:r>
        <w:rPr>
          <w:rFonts w:hint="eastAsia" w:ascii="仿宋" w:hAnsi="仿宋" w:eastAsia="仿宋" w:cs="仿宋"/>
          <w:color w:val="000000"/>
          <w:sz w:val="24"/>
          <w:szCs w:val="24"/>
        </w:rPr>
        <w:t>5、甲方获证后定期对其体系实施监督审核和按期实施再认证，如甲方的管理体系、产品质量、服务水平不能得到充分的信任，乙方有权增加监督审核频次或进行不预先通知的特殊审核。</w:t>
      </w:r>
    </w:p>
    <w:p w14:paraId="54B0245D">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5、当认证认可法规、认证标准发生变化时及时通知甲方。</w:t>
      </w:r>
    </w:p>
    <w:p w14:paraId="0145E103">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6、有权公布获证组织的获准、暂停、恢复、注销、撤销认证资格状态。</w:t>
      </w:r>
    </w:p>
    <w:p w14:paraId="32D36026">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7、通过审核及其相关活动证明不满足认证要求的，有权不颁发认证证书/不允许使用认证标志，并收取已经发生的认证活动费用。</w:t>
      </w:r>
    </w:p>
    <w:p w14:paraId="576CCA3D">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8、如甲方管理体系、服务承诺、产品发生重大变化或异常情况时，乙方有权增加监督审核频次。</w:t>
      </w:r>
    </w:p>
    <w:p w14:paraId="3A74B1FD">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9、甲方获准认证后如不按时支付年金和监督审核费，乙方有权暂停、撤销甲方的认证证书并要求甲方停止使用并交还相关的认证证书和认证标志。</w:t>
      </w:r>
    </w:p>
    <w:p w14:paraId="06577CB1">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10、甲方如不能持续符合认证依据标准要求和乙方的规定要求时, 乙方有权暂停/撤销甲方认证注册资格，乙方有权立即要求甲方停止使用任何引用认证注册资格的广告、宣传材料。当甲方认证证书被撤销后，乙方有权要求甲方交回无效认证证书，若甲方继续使用无效认证证书，乙方有权追究甲方的法律责任。</w:t>
      </w:r>
    </w:p>
    <w:p w14:paraId="00551C7E">
      <w:pPr>
        <w:adjustRightInd w:val="0"/>
        <w:snapToGrid w:val="0"/>
        <w:spacing w:line="360" w:lineRule="auto"/>
        <w:ind w:left="-2" w:leftChars="-1"/>
        <w:rPr>
          <w:rFonts w:hint="eastAsia" w:eastAsia="仿宋_GB2312"/>
          <w:b/>
          <w:bCs/>
          <w:color w:val="auto"/>
          <w:sz w:val="28"/>
          <w:szCs w:val="28"/>
          <w:highlight w:val="none"/>
        </w:rPr>
      </w:pPr>
      <w:r>
        <w:rPr>
          <w:rFonts w:hint="eastAsia" w:eastAsia="仿宋_GB2312"/>
          <w:b/>
          <w:bCs/>
          <w:color w:val="auto"/>
          <w:sz w:val="28"/>
          <w:szCs w:val="28"/>
          <w:highlight w:val="none"/>
        </w:rPr>
        <w:t>七、信息安全和保密原则</w:t>
      </w:r>
    </w:p>
    <w:p w14:paraId="71506A56">
      <w:pPr>
        <w:widowControl/>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1、甲乙双方应对任何一方的带有秘密性质的不公开向社会发布的信息予以保密。</w:t>
      </w:r>
    </w:p>
    <w:p w14:paraId="433C3772">
      <w:pPr>
        <w:widowControl/>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除认可机构或法律要求之外，乙方不得将有关甲方特定产品或组织的信息在没有甲方书面同意的情况下透露给第三方，但下列情况除外：此合同签署前乙方得到的信息；甲方已公开的信息；应法律要求时，乙方将通知甲方所提供的信息；国家认证监管部门有要求时。</w:t>
      </w:r>
    </w:p>
    <w:p w14:paraId="264A27B4">
      <w:pPr>
        <w:adjustRightInd w:val="0"/>
        <w:snapToGrid w:val="0"/>
        <w:spacing w:line="360" w:lineRule="auto"/>
        <w:ind w:left="-2" w:leftChars="-1"/>
        <w:rPr>
          <w:rFonts w:eastAsia="仿宋_GB2312"/>
          <w:b/>
          <w:bCs/>
          <w:sz w:val="28"/>
          <w:szCs w:val="28"/>
        </w:rPr>
      </w:pPr>
      <w:r>
        <w:rPr>
          <w:rFonts w:hint="eastAsia" w:eastAsia="仿宋_GB2312"/>
          <w:b/>
          <w:bCs/>
          <w:sz w:val="28"/>
          <w:szCs w:val="28"/>
        </w:rPr>
        <w:t>八、风险</w:t>
      </w:r>
    </w:p>
    <w:p w14:paraId="39998161">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1、甲方建立的管理体系如不符合或不能持续符合认证依据标准要求和乙方的规定要求时，甲方将承担不被批准认证注册/被暂停/被撤销认证注册资格的风险。</w:t>
      </w:r>
    </w:p>
    <w:p w14:paraId="47D7D0A4">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2、因乙方批准资质注销或被撤销导致获证组织认证证书无法有效保持的责任和经济赔偿有关条款，其赔偿费将不得超过甲方本次认证初审/再认证/监督审核费；乙方将不承担随后的任何损失赔偿。</w:t>
      </w:r>
    </w:p>
    <w:p w14:paraId="0047EC3D">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3、甲方合同期内隐瞒重要信息、提供虚假信息可能导致被撤销证书的风险。</w:t>
      </w:r>
    </w:p>
    <w:p w14:paraId="52671BA9">
      <w:pPr>
        <w:adjustRightInd w:val="0"/>
        <w:snapToGrid w:val="0"/>
        <w:spacing w:line="360" w:lineRule="auto"/>
        <w:ind w:left="-2" w:leftChars="-1"/>
        <w:rPr>
          <w:rFonts w:eastAsia="仿宋_GB2312"/>
          <w:b/>
          <w:bCs/>
          <w:sz w:val="28"/>
          <w:szCs w:val="28"/>
        </w:rPr>
      </w:pPr>
      <w:r>
        <w:rPr>
          <w:rFonts w:hint="eastAsia" w:eastAsia="仿宋_GB2312"/>
          <w:b/>
          <w:bCs/>
          <w:sz w:val="28"/>
          <w:szCs w:val="28"/>
        </w:rPr>
        <w:t>九、合同终止及违约责任</w:t>
      </w:r>
    </w:p>
    <w:p w14:paraId="1160E549">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1、甲乙双方必须认真执行合同，如签订合同后一方不能履行合同时，双方协商解决，由于终止合同所产生的经济损失由责任方承担；</w:t>
      </w:r>
    </w:p>
    <w:p w14:paraId="45351FFE">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2、甲方承担因故意或过失提供不真实、不完整的信息、弄虚作假所造成的全部后果，该后果包括但不限于按国家及行业有关规定追加审核的费用、由此造成乙方的经济及非经济损失、任何第三方对乙方采取相应措施给乙方所造成的所有经济损失和名誉损失。</w:t>
      </w:r>
    </w:p>
    <w:p w14:paraId="78778E02">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3、在履行本合同过程中发生争议，如双方和解或调解不</w:t>
      </w:r>
      <w:r>
        <w:rPr>
          <w:rFonts w:hint="eastAsia" w:ascii="仿宋" w:hAnsi="仿宋" w:eastAsia="仿宋" w:cs="仿宋"/>
          <w:color w:val="000000"/>
          <w:sz w:val="24"/>
          <w:szCs w:val="24"/>
          <w:highlight w:val="none"/>
        </w:rPr>
        <w:t>成，向乙方所在辖区人</w:t>
      </w:r>
      <w:r>
        <w:rPr>
          <w:rFonts w:hint="eastAsia" w:ascii="仿宋" w:hAnsi="仿宋" w:eastAsia="仿宋" w:cs="仿宋"/>
          <w:color w:val="000000"/>
          <w:sz w:val="24"/>
          <w:szCs w:val="24"/>
        </w:rPr>
        <w:t>民法院提起诉讼。</w:t>
      </w:r>
    </w:p>
    <w:p w14:paraId="7E097AB9">
      <w:pPr>
        <w:widowControl/>
        <w:spacing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4、甲乙双方必须认真履行合同，不能履行合同时，双方协商解决；若终止合同，则提出终止方需支付另一方本合同金额30%的违约金，作为补偿。</w:t>
      </w:r>
    </w:p>
    <w:p w14:paraId="407358C2">
      <w:pPr>
        <w:widowControl/>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5、由于甲方体系问题造成合同终止，甲方仍须缴纳全部审核费用，例如：乙方对甲方的认证结论为不合格，经甲方整改，乙方再次审核，仍为不合格时。</w:t>
      </w:r>
    </w:p>
    <w:p w14:paraId="7E1FA423">
      <w:pPr>
        <w:adjustRightInd w:val="0"/>
        <w:snapToGrid w:val="0"/>
        <w:spacing w:line="360" w:lineRule="auto"/>
        <w:ind w:left="-2" w:leftChars="-1"/>
        <w:rPr>
          <w:rFonts w:eastAsia="仿宋_GB2312"/>
          <w:b/>
          <w:bCs/>
          <w:sz w:val="28"/>
          <w:szCs w:val="28"/>
        </w:rPr>
      </w:pPr>
      <w:r>
        <w:rPr>
          <w:rFonts w:hint="eastAsia" w:eastAsia="仿宋_GB2312"/>
          <w:b/>
          <w:bCs/>
          <w:sz w:val="28"/>
          <w:szCs w:val="28"/>
        </w:rPr>
        <w:t>十、合同生效及有效期</w:t>
      </w:r>
    </w:p>
    <w:p w14:paraId="328F95DA">
      <w:pPr>
        <w:spacing w:line="3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本合同一式两份, 甲、乙双方各执一份,于乙方申请评审通过之日起生效，合同有效期为三年。未尽事宜由甲、乙双方另行协商，并签订补充协议，补充协议与本合同具有同等法律效力。</w:t>
      </w:r>
    </w:p>
    <w:tbl>
      <w:tblPr>
        <w:tblStyle w:val="21"/>
        <w:tblW w:w="0" w:type="auto"/>
        <w:jc w:val="center"/>
        <w:tblLayout w:type="fixed"/>
        <w:tblCellMar>
          <w:top w:w="0" w:type="dxa"/>
          <w:left w:w="108" w:type="dxa"/>
          <w:bottom w:w="0" w:type="dxa"/>
          <w:right w:w="108" w:type="dxa"/>
        </w:tblCellMar>
      </w:tblPr>
      <w:tblGrid>
        <w:gridCol w:w="4730"/>
        <w:gridCol w:w="4827"/>
      </w:tblGrid>
      <w:tr w14:paraId="7C58F898">
        <w:tblPrEx>
          <w:tblCellMar>
            <w:top w:w="0" w:type="dxa"/>
            <w:left w:w="108" w:type="dxa"/>
            <w:bottom w:w="0" w:type="dxa"/>
            <w:right w:w="108" w:type="dxa"/>
          </w:tblCellMar>
        </w:tblPrEx>
        <w:trPr>
          <w:trHeight w:val="852" w:hRule="atLeast"/>
          <w:jc w:val="center"/>
        </w:trPr>
        <w:tc>
          <w:tcPr>
            <w:tcW w:w="4730" w:type="dxa"/>
            <w:noWrap w:val="0"/>
            <w:vAlign w:val="center"/>
          </w:tcPr>
          <w:p w14:paraId="28BA7981">
            <w:pPr>
              <w:rPr>
                <w:rFonts w:eastAsia="仿宋_GB2312"/>
                <w:sz w:val="24"/>
                <w:szCs w:val="24"/>
              </w:rPr>
            </w:pPr>
            <w:permStart w:id="3" w:edGrp="everyone" w:colFirst="0" w:colLast="0"/>
            <w:r>
              <w:rPr>
                <w:rFonts w:eastAsia="仿宋_GB2312"/>
                <w:sz w:val="24"/>
                <w:szCs w:val="24"/>
              </w:rPr>
              <w:t>甲方：</w:t>
            </w:r>
          </w:p>
        </w:tc>
        <w:tc>
          <w:tcPr>
            <w:tcW w:w="4827" w:type="dxa"/>
            <w:noWrap w:val="0"/>
            <w:vAlign w:val="center"/>
          </w:tcPr>
          <w:p w14:paraId="4340D362">
            <w:pPr>
              <w:spacing w:line="320" w:lineRule="atLeast"/>
              <w:rPr>
                <w:rFonts w:eastAsia="仿宋_GB2312"/>
                <w:sz w:val="24"/>
                <w:szCs w:val="24"/>
              </w:rPr>
            </w:pPr>
            <w:r>
              <w:rPr>
                <w:rFonts w:eastAsia="仿宋_GB2312"/>
                <w:sz w:val="24"/>
                <w:szCs w:val="24"/>
              </w:rPr>
              <w:t>乙方：</w:t>
            </w:r>
            <w:r>
              <w:rPr>
                <w:rFonts w:hint="eastAsia" w:eastAsia="仿宋_GB2312"/>
                <w:sz w:val="24"/>
                <w:szCs w:val="24"/>
              </w:rPr>
              <w:t>中坛（北京）认证服务有限公司</w:t>
            </w:r>
          </w:p>
        </w:tc>
      </w:tr>
      <w:permEnd w:id="3"/>
      <w:tr w14:paraId="656D787C">
        <w:tblPrEx>
          <w:tblCellMar>
            <w:top w:w="0" w:type="dxa"/>
            <w:left w:w="108" w:type="dxa"/>
            <w:bottom w:w="0" w:type="dxa"/>
            <w:right w:w="108" w:type="dxa"/>
          </w:tblCellMar>
        </w:tblPrEx>
        <w:trPr>
          <w:trHeight w:val="387" w:hRule="atLeast"/>
          <w:jc w:val="center"/>
        </w:trPr>
        <w:tc>
          <w:tcPr>
            <w:tcW w:w="4730" w:type="dxa"/>
            <w:tcBorders>
              <w:bottom w:val="nil"/>
            </w:tcBorders>
            <w:noWrap w:val="0"/>
            <w:vAlign w:val="top"/>
          </w:tcPr>
          <w:p w14:paraId="112F17CD">
            <w:pPr>
              <w:rPr>
                <w:rFonts w:hint="eastAsia" w:eastAsia="仿宋_GB2312"/>
                <w:sz w:val="24"/>
                <w:szCs w:val="24"/>
              </w:rPr>
            </w:pPr>
            <w:permStart w:id="4" w:edGrp="everyone" w:colFirst="0" w:colLast="0"/>
            <w:r>
              <w:rPr>
                <w:rFonts w:hint="eastAsia" w:eastAsia="仿宋_GB2312"/>
                <w:sz w:val="24"/>
                <w:szCs w:val="24"/>
              </w:rPr>
              <w:t>（签章）</w:t>
            </w:r>
          </w:p>
        </w:tc>
        <w:tc>
          <w:tcPr>
            <w:tcW w:w="4827" w:type="dxa"/>
            <w:tcBorders>
              <w:bottom w:val="nil"/>
            </w:tcBorders>
            <w:noWrap w:val="0"/>
            <w:vAlign w:val="top"/>
          </w:tcPr>
          <w:p w14:paraId="66672088">
            <w:pPr>
              <w:spacing w:line="320" w:lineRule="atLeast"/>
              <w:rPr>
                <w:rFonts w:eastAsia="仿宋_GB2312"/>
                <w:sz w:val="24"/>
                <w:szCs w:val="24"/>
              </w:rPr>
            </w:pPr>
            <w:r>
              <w:rPr>
                <w:rFonts w:hint="eastAsia" w:eastAsia="仿宋_GB2312"/>
                <w:sz w:val="24"/>
                <w:szCs w:val="24"/>
              </w:rPr>
              <w:t>（签章）</w:t>
            </w:r>
          </w:p>
        </w:tc>
      </w:tr>
      <w:permEnd w:id="4"/>
      <w:tr w14:paraId="6FB4ED0D">
        <w:tblPrEx>
          <w:tblCellMar>
            <w:top w:w="0" w:type="dxa"/>
            <w:left w:w="108" w:type="dxa"/>
            <w:bottom w:w="0" w:type="dxa"/>
            <w:right w:w="108" w:type="dxa"/>
          </w:tblCellMar>
        </w:tblPrEx>
        <w:trPr>
          <w:trHeight w:val="693" w:hRule="atLeast"/>
          <w:jc w:val="center"/>
        </w:trPr>
        <w:tc>
          <w:tcPr>
            <w:tcW w:w="4730" w:type="dxa"/>
            <w:tcBorders>
              <w:top w:val="nil"/>
              <w:left w:val="nil"/>
              <w:bottom w:val="nil"/>
              <w:right w:val="nil"/>
            </w:tcBorders>
            <w:noWrap w:val="0"/>
            <w:vAlign w:val="center"/>
          </w:tcPr>
          <w:p w14:paraId="5BDFD267">
            <w:pPr>
              <w:rPr>
                <w:rFonts w:eastAsia="仿宋_GB2312"/>
                <w:sz w:val="24"/>
                <w:szCs w:val="24"/>
              </w:rPr>
            </w:pPr>
            <w:permStart w:id="5" w:edGrp="everyone" w:colFirst="0" w:colLast="0"/>
            <w:r>
              <w:rPr>
                <w:rFonts w:eastAsia="仿宋_GB2312"/>
                <w:sz w:val="24"/>
                <w:szCs w:val="24"/>
              </w:rPr>
              <w:t>授权</w:t>
            </w:r>
            <w:r>
              <w:rPr>
                <w:rFonts w:hint="eastAsia" w:eastAsia="仿宋_GB2312"/>
                <w:sz w:val="24"/>
                <w:szCs w:val="24"/>
              </w:rPr>
              <w:t>代表（签字）：</w:t>
            </w:r>
          </w:p>
        </w:tc>
        <w:tc>
          <w:tcPr>
            <w:tcW w:w="4827" w:type="dxa"/>
            <w:tcBorders>
              <w:top w:val="nil"/>
              <w:left w:val="nil"/>
              <w:bottom w:val="nil"/>
              <w:right w:val="nil"/>
            </w:tcBorders>
            <w:noWrap w:val="0"/>
            <w:vAlign w:val="center"/>
          </w:tcPr>
          <w:p w14:paraId="0F2DE367">
            <w:pPr>
              <w:spacing w:line="320" w:lineRule="atLeast"/>
              <w:rPr>
                <w:rFonts w:eastAsia="仿宋_GB2312"/>
                <w:sz w:val="24"/>
                <w:szCs w:val="24"/>
              </w:rPr>
            </w:pPr>
            <w:r>
              <w:rPr>
                <w:rFonts w:eastAsia="仿宋_GB2312"/>
                <w:sz w:val="24"/>
                <w:szCs w:val="24"/>
              </w:rPr>
              <w:t>授权</w:t>
            </w:r>
            <w:r>
              <w:rPr>
                <w:rFonts w:hint="eastAsia" w:eastAsia="仿宋_GB2312"/>
                <w:sz w:val="24"/>
                <w:szCs w:val="24"/>
              </w:rPr>
              <w:t>代表（签字）：</w:t>
            </w:r>
          </w:p>
        </w:tc>
      </w:tr>
      <w:permEnd w:id="5"/>
      <w:tr w14:paraId="05EDD281">
        <w:tblPrEx>
          <w:tblCellMar>
            <w:top w:w="0" w:type="dxa"/>
            <w:left w:w="108" w:type="dxa"/>
            <w:bottom w:w="0" w:type="dxa"/>
            <w:right w:w="108" w:type="dxa"/>
          </w:tblCellMar>
        </w:tblPrEx>
        <w:trPr>
          <w:trHeight w:val="567" w:hRule="atLeast"/>
          <w:jc w:val="center"/>
        </w:trPr>
        <w:tc>
          <w:tcPr>
            <w:tcW w:w="4730" w:type="dxa"/>
            <w:tcBorders>
              <w:top w:val="nil"/>
              <w:left w:val="nil"/>
              <w:bottom w:val="nil"/>
              <w:right w:val="nil"/>
            </w:tcBorders>
            <w:noWrap w:val="0"/>
            <w:vAlign w:val="center"/>
          </w:tcPr>
          <w:p w14:paraId="5FEDCFB1">
            <w:pPr>
              <w:rPr>
                <w:rFonts w:eastAsia="仿宋_GB2312"/>
                <w:sz w:val="24"/>
                <w:szCs w:val="24"/>
              </w:rPr>
            </w:pPr>
            <w:permStart w:id="6" w:edGrp="everyone" w:colFirst="0" w:colLast="0"/>
            <w:r>
              <w:rPr>
                <w:rFonts w:eastAsia="仿宋_GB2312"/>
                <w:sz w:val="24"/>
                <w:szCs w:val="24"/>
              </w:rPr>
              <w:t>日期：</w:t>
            </w:r>
          </w:p>
        </w:tc>
        <w:tc>
          <w:tcPr>
            <w:tcW w:w="4827" w:type="dxa"/>
            <w:tcBorders>
              <w:top w:val="nil"/>
              <w:left w:val="nil"/>
              <w:bottom w:val="nil"/>
              <w:right w:val="nil"/>
            </w:tcBorders>
            <w:noWrap w:val="0"/>
            <w:vAlign w:val="center"/>
          </w:tcPr>
          <w:p w14:paraId="32F74762">
            <w:pPr>
              <w:spacing w:line="320" w:lineRule="atLeast"/>
              <w:rPr>
                <w:rFonts w:eastAsia="仿宋_GB2312"/>
                <w:sz w:val="24"/>
                <w:szCs w:val="24"/>
              </w:rPr>
            </w:pPr>
            <w:r>
              <w:rPr>
                <w:rFonts w:eastAsia="仿宋_GB2312"/>
                <w:sz w:val="24"/>
                <w:szCs w:val="24"/>
              </w:rPr>
              <w:t>日期：</w:t>
            </w:r>
          </w:p>
        </w:tc>
      </w:tr>
      <w:permEnd w:id="6"/>
      <w:tr w14:paraId="6B38AC51">
        <w:tblPrEx>
          <w:tblCellMar>
            <w:top w:w="0" w:type="dxa"/>
            <w:left w:w="108" w:type="dxa"/>
            <w:bottom w:w="0" w:type="dxa"/>
            <w:right w:w="108" w:type="dxa"/>
          </w:tblCellMar>
        </w:tblPrEx>
        <w:trPr>
          <w:trHeight w:val="567" w:hRule="atLeast"/>
          <w:jc w:val="center"/>
        </w:trPr>
        <w:tc>
          <w:tcPr>
            <w:tcW w:w="4730" w:type="dxa"/>
            <w:tcBorders>
              <w:top w:val="nil"/>
              <w:left w:val="nil"/>
              <w:bottom w:val="nil"/>
              <w:right w:val="nil"/>
            </w:tcBorders>
            <w:noWrap w:val="0"/>
            <w:vAlign w:val="center"/>
          </w:tcPr>
          <w:p w14:paraId="4B7A62FA">
            <w:pPr>
              <w:rPr>
                <w:rFonts w:hint="eastAsia" w:eastAsia="仿宋_GB2312"/>
                <w:sz w:val="24"/>
                <w:szCs w:val="24"/>
              </w:rPr>
            </w:pPr>
            <w:permStart w:id="7" w:edGrp="everyone" w:colFirst="0" w:colLast="0"/>
            <w:r>
              <w:rPr>
                <w:rFonts w:hint="eastAsia" w:eastAsia="仿宋_GB2312"/>
                <w:sz w:val="24"/>
                <w:szCs w:val="24"/>
              </w:rPr>
              <w:t>联系人：</w:t>
            </w:r>
          </w:p>
        </w:tc>
        <w:tc>
          <w:tcPr>
            <w:tcW w:w="4827" w:type="dxa"/>
            <w:tcBorders>
              <w:top w:val="nil"/>
              <w:left w:val="nil"/>
              <w:bottom w:val="nil"/>
              <w:right w:val="nil"/>
            </w:tcBorders>
            <w:noWrap w:val="0"/>
            <w:vAlign w:val="center"/>
          </w:tcPr>
          <w:p w14:paraId="061027CF">
            <w:pPr>
              <w:spacing w:line="320" w:lineRule="atLeast"/>
              <w:rPr>
                <w:rFonts w:hint="eastAsia" w:eastAsia="仿宋_GB2312"/>
                <w:sz w:val="24"/>
                <w:szCs w:val="24"/>
              </w:rPr>
            </w:pPr>
            <w:r>
              <w:rPr>
                <w:rFonts w:hint="eastAsia" w:eastAsia="仿宋_GB2312"/>
                <w:sz w:val="24"/>
                <w:szCs w:val="24"/>
              </w:rPr>
              <w:t>联系人：游曼</w:t>
            </w:r>
          </w:p>
        </w:tc>
      </w:tr>
      <w:permEnd w:id="7"/>
      <w:tr w14:paraId="0D134CA2">
        <w:tblPrEx>
          <w:tblCellMar>
            <w:top w:w="0" w:type="dxa"/>
            <w:left w:w="108" w:type="dxa"/>
            <w:bottom w:w="0" w:type="dxa"/>
            <w:right w:w="108" w:type="dxa"/>
          </w:tblCellMar>
        </w:tblPrEx>
        <w:trPr>
          <w:trHeight w:val="567" w:hRule="atLeast"/>
          <w:jc w:val="center"/>
        </w:trPr>
        <w:tc>
          <w:tcPr>
            <w:tcW w:w="4730" w:type="dxa"/>
            <w:tcBorders>
              <w:top w:val="nil"/>
              <w:left w:val="nil"/>
              <w:bottom w:val="nil"/>
              <w:right w:val="nil"/>
            </w:tcBorders>
            <w:noWrap w:val="0"/>
            <w:vAlign w:val="center"/>
          </w:tcPr>
          <w:p w14:paraId="0137A239">
            <w:pPr>
              <w:rPr>
                <w:rFonts w:hint="eastAsia" w:eastAsia="仿宋_GB2312"/>
                <w:sz w:val="24"/>
                <w:szCs w:val="24"/>
              </w:rPr>
            </w:pPr>
            <w:permStart w:id="8" w:edGrp="everyone" w:colFirst="0" w:colLast="0"/>
            <w:r>
              <w:rPr>
                <w:rFonts w:hint="eastAsia" w:eastAsia="仿宋_GB2312"/>
                <w:sz w:val="24"/>
                <w:szCs w:val="24"/>
              </w:rPr>
              <w:t>联系方式：</w:t>
            </w:r>
          </w:p>
        </w:tc>
        <w:tc>
          <w:tcPr>
            <w:tcW w:w="4827" w:type="dxa"/>
            <w:tcBorders>
              <w:top w:val="nil"/>
              <w:left w:val="nil"/>
              <w:bottom w:val="nil"/>
              <w:right w:val="nil"/>
            </w:tcBorders>
            <w:noWrap w:val="0"/>
            <w:vAlign w:val="center"/>
          </w:tcPr>
          <w:p w14:paraId="6C145DE1">
            <w:pPr>
              <w:spacing w:line="320" w:lineRule="atLeast"/>
              <w:rPr>
                <w:rFonts w:eastAsia="仿宋_GB2312"/>
                <w:sz w:val="24"/>
                <w:szCs w:val="24"/>
              </w:rPr>
            </w:pPr>
            <w:r>
              <w:rPr>
                <w:rFonts w:hint="eastAsia" w:eastAsia="仿宋_GB2312"/>
                <w:sz w:val="24"/>
                <w:szCs w:val="24"/>
              </w:rPr>
              <w:t>联系方式：17603219772</w:t>
            </w:r>
          </w:p>
        </w:tc>
      </w:tr>
      <w:permEnd w:id="8"/>
      <w:tr w14:paraId="49AB4359">
        <w:tblPrEx>
          <w:tblCellMar>
            <w:top w:w="0" w:type="dxa"/>
            <w:left w:w="108" w:type="dxa"/>
            <w:bottom w:w="0" w:type="dxa"/>
            <w:right w:w="108" w:type="dxa"/>
          </w:tblCellMar>
        </w:tblPrEx>
        <w:trPr>
          <w:trHeight w:val="567" w:hRule="atLeast"/>
          <w:jc w:val="center"/>
        </w:trPr>
        <w:tc>
          <w:tcPr>
            <w:tcW w:w="4730" w:type="dxa"/>
            <w:tcBorders>
              <w:top w:val="nil"/>
              <w:left w:val="nil"/>
              <w:bottom w:val="nil"/>
              <w:right w:val="nil"/>
            </w:tcBorders>
            <w:noWrap w:val="0"/>
            <w:vAlign w:val="center"/>
          </w:tcPr>
          <w:p w14:paraId="3E51D4CC">
            <w:pPr>
              <w:rPr>
                <w:rFonts w:hint="eastAsia" w:eastAsia="仿宋_GB2312"/>
                <w:sz w:val="24"/>
                <w:szCs w:val="24"/>
              </w:rPr>
            </w:pPr>
            <w:permStart w:id="9" w:edGrp="everyone" w:colFirst="0" w:colLast="0"/>
            <w:r>
              <w:rPr>
                <w:rFonts w:hint="eastAsia" w:eastAsia="仿宋_GB2312"/>
                <w:sz w:val="24"/>
                <w:szCs w:val="24"/>
              </w:rPr>
              <w:t>传真：</w:t>
            </w:r>
          </w:p>
        </w:tc>
        <w:tc>
          <w:tcPr>
            <w:tcW w:w="4827" w:type="dxa"/>
            <w:tcBorders>
              <w:top w:val="nil"/>
              <w:left w:val="nil"/>
              <w:bottom w:val="nil"/>
              <w:right w:val="nil"/>
            </w:tcBorders>
            <w:noWrap w:val="0"/>
            <w:vAlign w:val="center"/>
          </w:tcPr>
          <w:p w14:paraId="0E237DFB">
            <w:pPr>
              <w:spacing w:line="320" w:lineRule="atLeast"/>
              <w:rPr>
                <w:rFonts w:eastAsia="仿宋_GB2312"/>
                <w:sz w:val="24"/>
                <w:szCs w:val="24"/>
              </w:rPr>
            </w:pPr>
            <w:r>
              <w:rPr>
                <w:rFonts w:hint="eastAsia" w:eastAsia="仿宋_GB2312"/>
                <w:sz w:val="24"/>
                <w:szCs w:val="24"/>
              </w:rPr>
              <w:t>传真：/</w:t>
            </w:r>
          </w:p>
        </w:tc>
      </w:tr>
      <w:permEnd w:id="9"/>
      <w:tr w14:paraId="5DC65595">
        <w:tblPrEx>
          <w:tblCellMar>
            <w:top w:w="0" w:type="dxa"/>
            <w:left w:w="108" w:type="dxa"/>
            <w:bottom w:w="0" w:type="dxa"/>
            <w:right w:w="108" w:type="dxa"/>
          </w:tblCellMar>
        </w:tblPrEx>
        <w:trPr>
          <w:trHeight w:val="567" w:hRule="atLeast"/>
          <w:jc w:val="center"/>
        </w:trPr>
        <w:tc>
          <w:tcPr>
            <w:tcW w:w="4730" w:type="dxa"/>
            <w:tcBorders>
              <w:top w:val="nil"/>
              <w:left w:val="nil"/>
              <w:bottom w:val="nil"/>
              <w:right w:val="nil"/>
            </w:tcBorders>
            <w:noWrap w:val="0"/>
            <w:vAlign w:val="center"/>
          </w:tcPr>
          <w:p w14:paraId="2B73AC86">
            <w:pPr>
              <w:rPr>
                <w:rFonts w:hint="eastAsia" w:eastAsia="仿宋_GB2312"/>
                <w:sz w:val="24"/>
                <w:szCs w:val="24"/>
              </w:rPr>
            </w:pPr>
            <w:permStart w:id="10" w:edGrp="everyone" w:colFirst="0" w:colLast="0"/>
            <w:r>
              <w:rPr>
                <w:rFonts w:hint="eastAsia" w:eastAsia="仿宋_GB2312"/>
                <w:sz w:val="24"/>
                <w:szCs w:val="24"/>
              </w:rPr>
              <w:t>邮箱：</w:t>
            </w:r>
          </w:p>
        </w:tc>
        <w:tc>
          <w:tcPr>
            <w:tcW w:w="4827" w:type="dxa"/>
            <w:tcBorders>
              <w:top w:val="nil"/>
              <w:left w:val="nil"/>
              <w:bottom w:val="nil"/>
              <w:right w:val="nil"/>
            </w:tcBorders>
            <w:noWrap w:val="0"/>
            <w:vAlign w:val="center"/>
          </w:tcPr>
          <w:p w14:paraId="348FA1AB">
            <w:pPr>
              <w:spacing w:line="320" w:lineRule="atLeast"/>
              <w:rPr>
                <w:rFonts w:eastAsia="仿宋_GB2312"/>
                <w:sz w:val="24"/>
                <w:szCs w:val="24"/>
              </w:rPr>
            </w:pPr>
            <w:r>
              <w:rPr>
                <w:rFonts w:hint="eastAsia" w:eastAsia="仿宋_GB2312"/>
                <w:sz w:val="24"/>
                <w:szCs w:val="24"/>
              </w:rPr>
              <w:t>邮箱：bjztrzgs@vip.163.com</w:t>
            </w:r>
          </w:p>
        </w:tc>
      </w:tr>
      <w:permEnd w:id="10"/>
      <w:tr w14:paraId="7BE2A9F8">
        <w:tblPrEx>
          <w:tblCellMar>
            <w:top w:w="0" w:type="dxa"/>
            <w:left w:w="108" w:type="dxa"/>
            <w:bottom w:w="0" w:type="dxa"/>
            <w:right w:w="108" w:type="dxa"/>
          </w:tblCellMar>
        </w:tblPrEx>
        <w:trPr>
          <w:trHeight w:val="567" w:hRule="atLeast"/>
          <w:jc w:val="center"/>
        </w:trPr>
        <w:tc>
          <w:tcPr>
            <w:tcW w:w="4730" w:type="dxa"/>
            <w:tcBorders>
              <w:top w:val="nil"/>
              <w:left w:val="nil"/>
              <w:bottom w:val="nil"/>
              <w:right w:val="nil"/>
            </w:tcBorders>
            <w:noWrap w:val="0"/>
            <w:vAlign w:val="center"/>
          </w:tcPr>
          <w:p w14:paraId="4ABDC760">
            <w:pPr>
              <w:rPr>
                <w:rFonts w:hint="eastAsia" w:eastAsia="仿宋_GB2312"/>
                <w:sz w:val="24"/>
                <w:szCs w:val="24"/>
              </w:rPr>
            </w:pPr>
            <w:permStart w:id="11" w:edGrp="everyone" w:colFirst="0" w:colLast="0"/>
            <w:r>
              <w:rPr>
                <w:rFonts w:hint="eastAsia" w:eastAsia="仿宋_GB2312"/>
                <w:sz w:val="24"/>
                <w:szCs w:val="24"/>
              </w:rPr>
              <w:t>通讯地址：</w:t>
            </w:r>
          </w:p>
        </w:tc>
        <w:tc>
          <w:tcPr>
            <w:tcW w:w="4827" w:type="dxa"/>
            <w:tcBorders>
              <w:top w:val="nil"/>
              <w:left w:val="nil"/>
              <w:bottom w:val="nil"/>
              <w:right w:val="nil"/>
            </w:tcBorders>
            <w:noWrap w:val="0"/>
            <w:vAlign w:val="center"/>
          </w:tcPr>
          <w:p w14:paraId="6A452CE1">
            <w:pPr>
              <w:spacing w:line="320" w:lineRule="atLeast"/>
              <w:rPr>
                <w:rFonts w:eastAsia="仿宋_GB2312"/>
                <w:sz w:val="24"/>
                <w:szCs w:val="24"/>
              </w:rPr>
            </w:pPr>
            <w:r>
              <w:rPr>
                <w:rFonts w:hint="eastAsia" w:eastAsia="仿宋_GB2312"/>
                <w:sz w:val="24"/>
                <w:szCs w:val="24"/>
              </w:rPr>
              <w:t>通讯地址：河北省石家庄市裕华区体育南大街383号世纪佳泰大厦C座708室</w:t>
            </w:r>
          </w:p>
        </w:tc>
      </w:tr>
      <w:permEnd w:id="11"/>
      <w:tr w14:paraId="6497DA91">
        <w:tblPrEx>
          <w:tblCellMar>
            <w:top w:w="0" w:type="dxa"/>
            <w:left w:w="108" w:type="dxa"/>
            <w:bottom w:w="0" w:type="dxa"/>
            <w:right w:w="108" w:type="dxa"/>
          </w:tblCellMar>
        </w:tblPrEx>
        <w:trPr>
          <w:trHeight w:val="567" w:hRule="atLeast"/>
          <w:jc w:val="center"/>
        </w:trPr>
        <w:tc>
          <w:tcPr>
            <w:tcW w:w="4730" w:type="dxa"/>
            <w:tcBorders>
              <w:top w:val="nil"/>
              <w:left w:val="nil"/>
              <w:bottom w:val="nil"/>
              <w:right w:val="nil"/>
            </w:tcBorders>
            <w:noWrap w:val="0"/>
            <w:vAlign w:val="center"/>
          </w:tcPr>
          <w:p w14:paraId="6497D5D1">
            <w:pPr>
              <w:rPr>
                <w:rFonts w:hint="eastAsia" w:eastAsia="仿宋_GB2312"/>
                <w:sz w:val="24"/>
                <w:szCs w:val="24"/>
              </w:rPr>
            </w:pPr>
            <w:permStart w:id="12" w:edGrp="everyone" w:colFirst="0" w:colLast="0"/>
            <w:permStart w:id="13" w:edGrp="everyone" w:colFirst="1" w:colLast="1"/>
            <w:r>
              <w:rPr>
                <w:rFonts w:hint="eastAsia" w:eastAsia="仿宋_GB2312"/>
                <w:sz w:val="24"/>
                <w:szCs w:val="24"/>
              </w:rPr>
              <w:t>户名：</w:t>
            </w:r>
          </w:p>
        </w:tc>
        <w:tc>
          <w:tcPr>
            <w:tcW w:w="4827" w:type="dxa"/>
            <w:tcBorders>
              <w:top w:val="nil"/>
              <w:left w:val="nil"/>
              <w:bottom w:val="nil"/>
              <w:right w:val="nil"/>
            </w:tcBorders>
            <w:noWrap w:val="0"/>
            <w:vAlign w:val="center"/>
          </w:tcPr>
          <w:p w14:paraId="78AEF6FA">
            <w:pPr>
              <w:spacing w:line="320" w:lineRule="atLeast"/>
              <w:rPr>
                <w:rFonts w:hint="eastAsia" w:eastAsia="仿宋_GB2312"/>
                <w:sz w:val="24"/>
                <w:szCs w:val="24"/>
              </w:rPr>
            </w:pPr>
            <w:r>
              <w:rPr>
                <w:rFonts w:hint="eastAsia" w:eastAsia="仿宋_GB2312"/>
                <w:sz w:val="24"/>
                <w:szCs w:val="24"/>
              </w:rPr>
              <w:t>户名：</w:t>
            </w:r>
          </w:p>
        </w:tc>
      </w:tr>
      <w:permEnd w:id="12"/>
      <w:permEnd w:id="13"/>
      <w:tr w14:paraId="7FA44F9A">
        <w:tblPrEx>
          <w:tblCellMar>
            <w:top w:w="0" w:type="dxa"/>
            <w:left w:w="108" w:type="dxa"/>
            <w:bottom w:w="0" w:type="dxa"/>
            <w:right w:w="108" w:type="dxa"/>
          </w:tblCellMar>
        </w:tblPrEx>
        <w:trPr>
          <w:trHeight w:val="567" w:hRule="atLeast"/>
          <w:jc w:val="center"/>
        </w:trPr>
        <w:tc>
          <w:tcPr>
            <w:tcW w:w="4730" w:type="dxa"/>
            <w:tcBorders>
              <w:top w:val="nil"/>
              <w:left w:val="nil"/>
              <w:bottom w:val="nil"/>
              <w:right w:val="nil"/>
            </w:tcBorders>
            <w:noWrap w:val="0"/>
            <w:vAlign w:val="center"/>
          </w:tcPr>
          <w:p w14:paraId="553BB9BF">
            <w:pPr>
              <w:rPr>
                <w:rFonts w:hint="eastAsia" w:eastAsia="仿宋_GB2312"/>
                <w:sz w:val="24"/>
                <w:szCs w:val="24"/>
              </w:rPr>
            </w:pPr>
            <w:permStart w:id="14" w:edGrp="everyone" w:colFirst="0" w:colLast="0"/>
            <w:permStart w:id="15" w:edGrp="everyone" w:colFirst="1" w:colLast="1"/>
            <w:r>
              <w:rPr>
                <w:rFonts w:hint="eastAsia" w:eastAsia="仿宋_GB2312"/>
                <w:sz w:val="24"/>
                <w:szCs w:val="24"/>
              </w:rPr>
              <w:t>开户行：</w:t>
            </w:r>
          </w:p>
        </w:tc>
        <w:tc>
          <w:tcPr>
            <w:tcW w:w="4827" w:type="dxa"/>
            <w:tcBorders>
              <w:top w:val="nil"/>
              <w:left w:val="nil"/>
              <w:bottom w:val="nil"/>
              <w:right w:val="nil"/>
            </w:tcBorders>
            <w:noWrap w:val="0"/>
            <w:vAlign w:val="center"/>
          </w:tcPr>
          <w:p w14:paraId="6D751588">
            <w:pPr>
              <w:spacing w:line="320" w:lineRule="atLeast"/>
              <w:rPr>
                <w:rFonts w:hint="eastAsia" w:eastAsia="仿宋_GB2312"/>
                <w:sz w:val="24"/>
                <w:szCs w:val="24"/>
              </w:rPr>
            </w:pPr>
            <w:r>
              <w:rPr>
                <w:rFonts w:hint="eastAsia" w:eastAsia="仿宋_GB2312"/>
                <w:sz w:val="24"/>
                <w:szCs w:val="24"/>
              </w:rPr>
              <w:t>开户行：</w:t>
            </w:r>
          </w:p>
        </w:tc>
      </w:tr>
      <w:permEnd w:id="14"/>
      <w:permEnd w:id="15"/>
      <w:tr w14:paraId="7E951F36">
        <w:tblPrEx>
          <w:tblCellMar>
            <w:top w:w="0" w:type="dxa"/>
            <w:left w:w="108" w:type="dxa"/>
            <w:bottom w:w="0" w:type="dxa"/>
            <w:right w:w="108" w:type="dxa"/>
          </w:tblCellMar>
        </w:tblPrEx>
        <w:trPr>
          <w:trHeight w:val="567" w:hRule="atLeast"/>
          <w:jc w:val="center"/>
        </w:trPr>
        <w:tc>
          <w:tcPr>
            <w:tcW w:w="4730" w:type="dxa"/>
            <w:tcBorders>
              <w:top w:val="nil"/>
              <w:left w:val="nil"/>
              <w:bottom w:val="nil"/>
              <w:right w:val="nil"/>
            </w:tcBorders>
            <w:noWrap w:val="0"/>
            <w:vAlign w:val="center"/>
          </w:tcPr>
          <w:p w14:paraId="23427826">
            <w:pPr>
              <w:rPr>
                <w:rFonts w:hint="eastAsia" w:eastAsia="仿宋_GB2312"/>
                <w:sz w:val="24"/>
                <w:szCs w:val="24"/>
              </w:rPr>
            </w:pPr>
            <w:permStart w:id="16" w:edGrp="everyone" w:colFirst="0" w:colLast="0"/>
            <w:permStart w:id="17" w:edGrp="everyone" w:colFirst="1" w:colLast="1"/>
            <w:r>
              <w:rPr>
                <w:rFonts w:hint="eastAsia" w:eastAsia="仿宋_GB2312"/>
                <w:sz w:val="24"/>
                <w:szCs w:val="24"/>
              </w:rPr>
              <w:t>账号：</w:t>
            </w:r>
          </w:p>
        </w:tc>
        <w:tc>
          <w:tcPr>
            <w:tcW w:w="4827" w:type="dxa"/>
            <w:tcBorders>
              <w:top w:val="nil"/>
              <w:left w:val="nil"/>
              <w:bottom w:val="nil"/>
              <w:right w:val="nil"/>
            </w:tcBorders>
            <w:noWrap w:val="0"/>
            <w:vAlign w:val="center"/>
          </w:tcPr>
          <w:p w14:paraId="7DE4BBE0">
            <w:pPr>
              <w:spacing w:line="320" w:lineRule="atLeast"/>
              <w:rPr>
                <w:rFonts w:hint="eastAsia" w:eastAsia="仿宋_GB2312"/>
                <w:sz w:val="24"/>
                <w:szCs w:val="24"/>
                <w:lang w:bidi="ar"/>
              </w:rPr>
            </w:pPr>
            <w:r>
              <w:rPr>
                <w:rFonts w:hint="eastAsia" w:eastAsia="仿宋_GB2312"/>
                <w:sz w:val="24"/>
                <w:szCs w:val="24"/>
                <w:lang w:bidi="ar"/>
              </w:rPr>
              <w:t>账号：</w:t>
            </w:r>
          </w:p>
        </w:tc>
      </w:tr>
      <w:permEnd w:id="16"/>
      <w:permEnd w:id="17"/>
      <w:tr w14:paraId="3391A427">
        <w:tblPrEx>
          <w:tblCellMar>
            <w:top w:w="0" w:type="dxa"/>
            <w:left w:w="108" w:type="dxa"/>
            <w:bottom w:w="0" w:type="dxa"/>
            <w:right w:w="108" w:type="dxa"/>
          </w:tblCellMar>
        </w:tblPrEx>
        <w:trPr>
          <w:trHeight w:val="567" w:hRule="atLeast"/>
          <w:jc w:val="center"/>
        </w:trPr>
        <w:tc>
          <w:tcPr>
            <w:tcW w:w="4730" w:type="dxa"/>
            <w:tcBorders>
              <w:top w:val="nil"/>
              <w:left w:val="nil"/>
              <w:bottom w:val="nil"/>
              <w:right w:val="nil"/>
            </w:tcBorders>
            <w:noWrap w:val="0"/>
            <w:vAlign w:val="center"/>
          </w:tcPr>
          <w:p w14:paraId="36EEF245">
            <w:pPr>
              <w:spacing w:line="320" w:lineRule="atLeast"/>
              <w:rPr>
                <w:rFonts w:hint="eastAsia" w:eastAsia="仿宋_GB2312"/>
                <w:sz w:val="24"/>
                <w:szCs w:val="24"/>
                <w:lang w:bidi="ar"/>
              </w:rPr>
            </w:pPr>
            <w:permStart w:id="18" w:edGrp="everyone" w:colFirst="0" w:colLast="0"/>
            <w:r>
              <w:rPr>
                <w:rFonts w:hint="eastAsia" w:eastAsia="仿宋_GB2312"/>
                <w:sz w:val="24"/>
                <w:szCs w:val="24"/>
                <w:lang w:bidi="ar"/>
              </w:rPr>
              <w:t>甲方需要发票类型：</w:t>
            </w:r>
          </w:p>
          <w:p w14:paraId="51FCDDA6">
            <w:pPr>
              <w:spacing w:line="320" w:lineRule="atLeast"/>
              <w:rPr>
                <w:rFonts w:hint="eastAsia" w:eastAsia="仿宋_GB2312"/>
                <w:sz w:val="24"/>
                <w:szCs w:val="24"/>
                <w:lang w:bidi="ar"/>
              </w:rPr>
            </w:pPr>
            <w:r>
              <w:rPr>
                <w:rFonts w:hint="eastAsia" w:eastAsia="仿宋_GB2312"/>
                <w:sz w:val="24"/>
                <w:szCs w:val="24"/>
                <w:lang w:bidi="ar"/>
              </w:rPr>
              <w:sym w:font="Wingdings" w:char="00A8"/>
            </w:r>
            <w:r>
              <w:rPr>
                <w:rFonts w:hint="eastAsia" w:eastAsia="仿宋_GB2312"/>
                <w:sz w:val="24"/>
                <w:szCs w:val="24"/>
                <w:lang w:bidi="ar"/>
              </w:rPr>
              <w:t xml:space="preserve"> 增值税普通发票  </w:t>
            </w:r>
            <w:r>
              <w:rPr>
                <w:rFonts w:hint="eastAsia" w:eastAsia="仿宋_GB2312"/>
                <w:sz w:val="24"/>
                <w:szCs w:val="24"/>
                <w:lang w:bidi="ar"/>
              </w:rPr>
              <w:sym w:font="Wingdings" w:char="00A8"/>
            </w:r>
            <w:r>
              <w:rPr>
                <w:rFonts w:hint="eastAsia" w:eastAsia="仿宋_GB2312"/>
                <w:sz w:val="24"/>
                <w:szCs w:val="24"/>
                <w:lang w:bidi="ar"/>
              </w:rPr>
              <w:t>增值税专用发票</w:t>
            </w:r>
          </w:p>
        </w:tc>
        <w:tc>
          <w:tcPr>
            <w:tcW w:w="4827" w:type="dxa"/>
            <w:tcBorders>
              <w:top w:val="nil"/>
              <w:left w:val="nil"/>
              <w:bottom w:val="nil"/>
              <w:right w:val="nil"/>
            </w:tcBorders>
            <w:noWrap w:val="0"/>
            <w:vAlign w:val="center"/>
          </w:tcPr>
          <w:p w14:paraId="02C6CEB3">
            <w:pPr>
              <w:spacing w:line="320" w:lineRule="atLeast"/>
              <w:rPr>
                <w:rFonts w:hint="eastAsia" w:eastAsia="仿宋_GB2312"/>
                <w:sz w:val="24"/>
                <w:szCs w:val="24"/>
                <w:lang w:bidi="ar"/>
              </w:rPr>
            </w:pPr>
            <w:r>
              <w:rPr>
                <w:rFonts w:hint="eastAsia" w:eastAsia="仿宋_GB2312"/>
                <w:sz w:val="24"/>
                <w:szCs w:val="24"/>
                <w:lang w:bidi="ar"/>
              </w:rPr>
              <w:t>注：打款需备注“企业简称-XXX体系认证费”</w:t>
            </w:r>
          </w:p>
        </w:tc>
      </w:tr>
      <w:permEnd w:id="18"/>
    </w:tbl>
    <w:p w14:paraId="32C3FEBB">
      <w:pPr>
        <w:rPr>
          <w:rFonts w:eastAsia="仿宋_GB2312"/>
          <w:sz w:val="24"/>
          <w:szCs w:val="24"/>
        </w:rPr>
      </w:pPr>
    </w:p>
    <w:sectPr>
      <w:headerReference r:id="rId4" w:type="first"/>
      <w:headerReference r:id="rId3" w:type="default"/>
      <w:footerReference r:id="rId5" w:type="default"/>
      <w:pgSz w:w="11906" w:h="16838"/>
      <w:pgMar w:top="1134" w:right="1106" w:bottom="1134" w:left="1134" w:header="1134" w:footer="567"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108" w:type="dxa"/>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7655"/>
    </w:tblGrid>
    <w:tr w14:paraId="01AE0A88">
      <w:tblPrEx>
        <w:tblBorders>
          <w:top w:val="thickThinSmallGap" w:color="auto"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19" w:type="dxa"/>
          <w:tcBorders>
            <w:top w:val="thickThinSmallGap" w:color="auto" w:sz="24" w:space="0"/>
          </w:tcBorders>
          <w:noWrap w:val="0"/>
          <w:vAlign w:val="top"/>
        </w:tcPr>
        <w:p w14:paraId="4833C196">
          <w:pPr>
            <w:pStyle w:val="17"/>
            <w:tabs>
              <w:tab w:val="right" w:pos="1903"/>
              <w:tab w:val="clear" w:pos="4153"/>
            </w:tabs>
            <w:rPr>
              <w:rFonts w:ascii="黑体" w:eastAsia="黑体"/>
              <w:b/>
              <w:bCs/>
              <w:color w:val="000000"/>
            </w:rPr>
          </w:pPr>
        </w:p>
      </w:tc>
      <w:tc>
        <w:tcPr>
          <w:tcW w:w="7655" w:type="dxa"/>
          <w:tcBorders>
            <w:top w:val="thickThinSmallGap" w:color="auto" w:sz="24" w:space="0"/>
          </w:tcBorders>
          <w:noWrap w:val="0"/>
          <w:vAlign w:val="top"/>
        </w:tcPr>
        <w:p w14:paraId="657B0DD6">
          <w:pPr>
            <w:pStyle w:val="17"/>
            <w:rPr>
              <w:rFonts w:ascii="黑体" w:eastAsia="黑体"/>
              <w:b/>
              <w:bCs/>
              <w:color w:val="000000"/>
            </w:rPr>
          </w:pPr>
          <w:r>
            <w:pict>
              <v:shape id="_x0000_s1027" o:spid="_x0000_s1027" o:spt="202" type="#_x0000_t202" style="position:absolute;left:0pt;margin-left:237.55pt;margin-top:0pt;height:144pt;width:144pt;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79729EFF">
                      <w:pPr>
                        <w:pStyle w:val="17"/>
                      </w:pPr>
                      <w:r>
                        <w:rPr>
                          <w:rFonts w:hint="eastAsia" w:ascii="黑体" w:eastAsia="黑体" w:cs="黑体"/>
                          <w:b/>
                          <w:bCs/>
                          <w:color w:val="000000"/>
                        </w:rPr>
                        <w:t xml:space="preserve">    第</w:t>
                      </w:r>
                      <w:r>
                        <w:rPr>
                          <w:rFonts w:ascii="黑体" w:eastAsia="黑体" w:cs="黑体"/>
                          <w:b/>
                          <w:bCs/>
                          <w:color w:val="000000"/>
                        </w:rPr>
                        <w:t xml:space="preserve"> </w:t>
                      </w:r>
                      <w:r>
                        <w:rPr>
                          <w:rFonts w:ascii="黑体" w:eastAsia="黑体" w:cs="黑体"/>
                          <w:b/>
                          <w:bCs/>
                          <w:color w:val="000000"/>
                        </w:rPr>
                        <w:fldChar w:fldCharType="begin"/>
                      </w:r>
                      <w:r>
                        <w:rPr>
                          <w:rFonts w:ascii="黑体" w:eastAsia="黑体" w:cs="黑体"/>
                          <w:b/>
                          <w:bCs/>
                          <w:color w:val="000000"/>
                        </w:rPr>
                        <w:instrText xml:space="preserve"> PAGE </w:instrText>
                      </w:r>
                      <w:r>
                        <w:rPr>
                          <w:rFonts w:ascii="黑体" w:eastAsia="黑体" w:cs="黑体"/>
                          <w:b/>
                          <w:bCs/>
                          <w:color w:val="000000"/>
                        </w:rPr>
                        <w:fldChar w:fldCharType="separate"/>
                      </w:r>
                      <w:r>
                        <w:rPr>
                          <w:rFonts w:ascii="黑体" w:eastAsia="黑体" w:cs="黑体"/>
                          <w:b/>
                          <w:bCs/>
                          <w:color w:val="000000"/>
                        </w:rPr>
                        <w:t>8</w:t>
                      </w:r>
                      <w:r>
                        <w:rPr>
                          <w:rFonts w:ascii="黑体" w:eastAsia="黑体" w:cs="黑体"/>
                          <w:b/>
                          <w:bCs/>
                          <w:color w:val="000000"/>
                        </w:rPr>
                        <w:fldChar w:fldCharType="end"/>
                      </w:r>
                      <w:r>
                        <w:rPr>
                          <w:rFonts w:ascii="黑体" w:eastAsia="黑体" w:cs="黑体"/>
                          <w:b/>
                          <w:bCs/>
                          <w:color w:val="000000"/>
                        </w:rPr>
                        <w:t xml:space="preserve"> </w:t>
                      </w:r>
                      <w:r>
                        <w:rPr>
                          <w:rFonts w:hint="eastAsia" w:ascii="黑体" w:eastAsia="黑体" w:cs="黑体"/>
                          <w:b/>
                          <w:bCs/>
                          <w:color w:val="000000"/>
                        </w:rPr>
                        <w:t>页</w:t>
                      </w:r>
                      <w:r>
                        <w:rPr>
                          <w:rFonts w:ascii="黑体" w:eastAsia="黑体" w:cs="黑体"/>
                          <w:b/>
                          <w:bCs/>
                          <w:color w:val="000000"/>
                        </w:rPr>
                        <w:t xml:space="preserve"> </w:t>
                      </w:r>
                      <w:r>
                        <w:rPr>
                          <w:rFonts w:hint="eastAsia" w:ascii="黑体" w:eastAsia="黑体" w:cs="黑体"/>
                          <w:b/>
                          <w:bCs/>
                          <w:color w:val="000000"/>
                        </w:rPr>
                        <w:t>共</w:t>
                      </w:r>
                      <w:r>
                        <w:rPr>
                          <w:rFonts w:ascii="黑体" w:eastAsia="黑体" w:cs="黑体"/>
                          <w:b/>
                          <w:bCs/>
                          <w:color w:val="000000"/>
                        </w:rPr>
                        <w:t xml:space="preserve"> </w:t>
                      </w:r>
                      <w:r>
                        <w:rPr>
                          <w:rFonts w:ascii="黑体" w:eastAsia="黑体" w:cs="黑体"/>
                          <w:b/>
                          <w:bCs/>
                          <w:color w:val="000000"/>
                        </w:rPr>
                        <w:fldChar w:fldCharType="begin"/>
                      </w:r>
                      <w:r>
                        <w:rPr>
                          <w:rFonts w:ascii="黑体" w:eastAsia="黑体" w:cs="黑体"/>
                          <w:b/>
                          <w:bCs/>
                          <w:color w:val="000000"/>
                        </w:rPr>
                        <w:instrText xml:space="preserve"> NUMPAGES </w:instrText>
                      </w:r>
                      <w:r>
                        <w:rPr>
                          <w:rFonts w:ascii="黑体" w:eastAsia="黑体" w:cs="黑体"/>
                          <w:b/>
                          <w:bCs/>
                          <w:color w:val="000000"/>
                        </w:rPr>
                        <w:fldChar w:fldCharType="separate"/>
                      </w:r>
                      <w:r>
                        <w:rPr>
                          <w:rFonts w:ascii="黑体" w:eastAsia="黑体" w:cs="黑体"/>
                          <w:b/>
                          <w:bCs/>
                          <w:color w:val="000000"/>
                        </w:rPr>
                        <w:t>9</w:t>
                      </w:r>
                      <w:r>
                        <w:rPr>
                          <w:rFonts w:ascii="黑体" w:eastAsia="黑体" w:cs="黑体"/>
                          <w:b/>
                          <w:bCs/>
                          <w:color w:val="000000"/>
                        </w:rPr>
                        <w:fldChar w:fldCharType="end"/>
                      </w:r>
                      <w:r>
                        <w:rPr>
                          <w:rFonts w:ascii="黑体" w:eastAsia="黑体" w:cs="黑体"/>
                          <w:b/>
                          <w:bCs/>
                          <w:color w:val="000000"/>
                        </w:rPr>
                        <w:t xml:space="preserve"> </w:t>
                      </w:r>
                      <w:r>
                        <w:rPr>
                          <w:rFonts w:hint="eastAsia" w:ascii="黑体" w:eastAsia="黑体" w:cs="黑体"/>
                          <w:b/>
                          <w:bCs/>
                          <w:color w:val="000000"/>
                        </w:rPr>
                        <w:t>页</w:t>
                      </w:r>
                    </w:p>
                  </w:txbxContent>
                </v:textbox>
              </v:shape>
            </w:pict>
          </w:r>
        </w:p>
      </w:tc>
    </w:tr>
  </w:tbl>
  <w:p w14:paraId="5CC58BA4">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9687" w:type="dxa"/>
      <w:tblInd w:w="0" w:type="dxa"/>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6188"/>
      <w:gridCol w:w="3499"/>
    </w:tblGrid>
    <w:tr w14:paraId="264CAAE1">
      <w:tblPrEx>
        <w:tblBorders>
          <w:top w:val="none" w:color="auto" w:sz="0" w:space="0"/>
          <w:left w:val="none" w:color="auto" w:sz="0" w:space="0"/>
          <w:bottom w:val="thinThickSmallGap" w:color="auto" w:sz="24" w:space="0"/>
          <w:right w:val="none" w:color="auto" w:sz="0" w:space="0"/>
          <w:insideH w:val="none" w:color="auto" w:sz="0" w:space="0"/>
          <w:insideV w:val="none" w:color="auto" w:sz="0" w:space="0"/>
        </w:tblBorders>
        <w:tblCellMar>
          <w:top w:w="0" w:type="dxa"/>
          <w:left w:w="28" w:type="dxa"/>
          <w:bottom w:w="0" w:type="dxa"/>
          <w:right w:w="28" w:type="dxa"/>
        </w:tblCellMar>
      </w:tblPrEx>
      <w:trPr>
        <w:wBefore w:w="0" w:type="auto"/>
        <w:wAfter w:w="0" w:type="auto"/>
        <w:cantSplit/>
        <w:trHeight w:val="550" w:hRule="atLeast"/>
      </w:trPr>
      <w:tc>
        <w:tcPr>
          <w:tcW w:w="6188" w:type="dxa"/>
          <w:noWrap w:val="0"/>
          <w:tcMar>
            <w:top w:w="0" w:type="dxa"/>
            <w:left w:w="0" w:type="dxa"/>
            <w:bottom w:w="0" w:type="dxa"/>
            <w:right w:w="0" w:type="dxa"/>
          </w:tcMar>
          <w:vAlign w:val="center"/>
        </w:tcPr>
        <w:p w14:paraId="658B0FD5">
          <w:pPr>
            <w:pStyle w:val="18"/>
            <w:pBdr>
              <w:bottom w:val="none" w:color="auto" w:sz="0" w:space="0"/>
            </w:pBdr>
            <w:wordWrap w:val="0"/>
            <w:spacing w:line="240" w:lineRule="auto"/>
            <w:ind w:right="488"/>
            <w:jc w:val="left"/>
            <w:rPr>
              <w:rFonts w:hint="eastAsia" w:ascii="黑体" w:hAnsi="黑体" w:eastAsia="黑体" w:cs="黑体"/>
              <w:b/>
              <w:bCs/>
              <w:sz w:val="28"/>
              <w:szCs w:val="28"/>
            </w:rPr>
          </w:pPr>
          <w:r>
            <w:pict>
              <v:shape id="_x0000_i1025" o:spt="75" alt="3" type="#_x0000_t75" style="height:19.35pt;width:21pt;" filled="f" o:preferrelative="t" stroked="f" coordsize="21600,21600">
                <v:path/>
                <v:fill on="f" focussize="0,0"/>
                <v:stroke on="f"/>
                <v:imagedata r:id="rId1" cropright="46442f" cropbottom="-4125f" o:title="3"/>
                <o:lock v:ext="edit" aspectratio="t"/>
                <w10:wrap type="none"/>
                <w10:anchorlock/>
              </v:shape>
            </w:pict>
          </w:r>
          <w:r>
            <w:rPr>
              <w:rFonts w:hint="eastAsia"/>
            </w:rPr>
            <w:t xml:space="preserve"> </w:t>
          </w:r>
          <w:r>
            <w:rPr>
              <w:rFonts w:hint="eastAsia" w:ascii="黑体" w:hAnsi="黑体" w:eastAsia="黑体" w:cs="黑体"/>
              <w:b/>
              <w:bCs/>
              <w:sz w:val="28"/>
              <w:szCs w:val="28"/>
            </w:rPr>
            <w:t>中坛（北京）认证服务有限公司</w:t>
          </w:r>
        </w:p>
      </w:tc>
      <w:tc>
        <w:tcPr>
          <w:tcW w:w="3499" w:type="dxa"/>
          <w:noWrap w:val="0"/>
          <w:vAlign w:val="bottom"/>
        </w:tcPr>
        <w:p w14:paraId="4B883B4E">
          <w:pPr>
            <w:pStyle w:val="18"/>
            <w:pBdr>
              <w:bottom w:val="none" w:color="auto" w:sz="0" w:space="0"/>
            </w:pBdr>
            <w:adjustRightInd/>
            <w:snapToGrid w:val="0"/>
            <w:spacing w:line="240" w:lineRule="auto"/>
            <w:jc w:val="both"/>
            <w:textAlignment w:val="auto"/>
            <w:rPr>
              <w:rFonts w:hint="default" w:ascii="黑体" w:hAnsi="宋体" w:eastAsia="黑体" w:cs="Times New Roman"/>
              <w:b/>
              <w:sz w:val="21"/>
              <w:szCs w:val="21"/>
              <w:lang w:val="en-US" w:eastAsia="zh-CN"/>
            </w:rPr>
          </w:pPr>
          <w:r>
            <w:rPr>
              <w:rFonts w:hint="eastAsia" w:ascii="黑体" w:hAnsi="宋体" w:eastAsia="黑体" w:cs="Times New Roman"/>
              <w:b/>
              <w:sz w:val="21"/>
              <w:szCs w:val="21"/>
              <w:lang w:val="en-US" w:eastAsia="zh-CN"/>
            </w:rPr>
            <w:t>记录编号：</w:t>
          </w:r>
          <w:r>
            <w:rPr>
              <w:rFonts w:hint="eastAsia" w:ascii="黑体" w:hAnsi="宋体" w:eastAsia="黑体"/>
              <w:b/>
              <w:sz w:val="21"/>
              <w:szCs w:val="21"/>
              <w:lang w:val="en-US" w:eastAsia="zh-CN"/>
            </w:rPr>
            <w:t>Z</w:t>
          </w:r>
          <w:r>
            <w:rPr>
              <w:rFonts w:hint="eastAsia" w:ascii="黑体" w:eastAsia="黑体"/>
              <w:b/>
              <w:sz w:val="21"/>
              <w:szCs w:val="21"/>
              <w:lang w:val="en-US" w:eastAsia="zh-CN"/>
            </w:rPr>
            <w:t>TRZ</w:t>
          </w:r>
          <w:r>
            <w:rPr>
              <w:rFonts w:hint="eastAsia" w:ascii="黑体" w:hAnsi="宋体" w:eastAsia="黑体"/>
              <w:b/>
              <w:sz w:val="21"/>
              <w:szCs w:val="21"/>
              <w:lang w:val="en-US" w:eastAsia="zh-CN"/>
            </w:rPr>
            <w:t>-JL-019</w:t>
          </w:r>
        </w:p>
        <w:p w14:paraId="11D0BD12">
          <w:pPr>
            <w:pStyle w:val="18"/>
            <w:pBdr>
              <w:bottom w:val="none" w:color="auto" w:sz="0" w:space="0"/>
            </w:pBdr>
            <w:adjustRightInd/>
            <w:snapToGrid w:val="0"/>
            <w:spacing w:line="240" w:lineRule="auto"/>
            <w:jc w:val="both"/>
            <w:textAlignment w:val="auto"/>
            <w:rPr>
              <w:rFonts w:hint="default"/>
              <w:lang w:val="en-US" w:eastAsia="zh-CN"/>
            </w:rPr>
          </w:pPr>
          <w:r>
            <w:rPr>
              <w:rFonts w:hint="eastAsia" w:ascii="黑体" w:hAnsi="宋体" w:eastAsia="黑体" w:cs="Times New Roman"/>
              <w:b/>
              <w:sz w:val="21"/>
              <w:szCs w:val="21"/>
              <w:lang w:val="en-US" w:eastAsia="zh-CN"/>
            </w:rPr>
            <w:t>版本号：A/0</w:t>
          </w:r>
        </w:p>
      </w:tc>
    </w:tr>
  </w:tbl>
  <w:p w14:paraId="6EE36992">
    <w:pPr>
      <w:pStyle w:val="18"/>
      <w:pBdr>
        <w:bottom w:val="none" w:color="auto" w:sz="0" w:space="1"/>
      </w:pBdr>
      <w:jc w:val="both"/>
    </w:pPr>
    <w:r>
      <w:pict>
        <v:shape id="PowerPlusWaterMarkObject66498" o:spid="_x0000_s1029" o:spt="136" type="#_x0000_t136" style="position:absolute;left:0pt;height:144.5pt;width:442.75pt;mso-position-horizontal:center;mso-position-horizontal-relative:margin;mso-position-vertical:center;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中坛认证"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ED887">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3630F"/>
    <w:multiLevelType w:val="singleLevel"/>
    <w:tmpl w:val="AAF3630F"/>
    <w:lvl w:ilvl="0" w:tentative="0">
      <w:start w:val="1"/>
      <w:numFmt w:val="decimal"/>
      <w:suff w:val="nothing"/>
      <w:lvlText w:val="（%1）"/>
      <w:lvlJc w:val="left"/>
    </w:lvl>
  </w:abstractNum>
  <w:abstractNum w:abstractNumId="1">
    <w:nsid w:val="B26D8ABE"/>
    <w:multiLevelType w:val="singleLevel"/>
    <w:tmpl w:val="B26D8ABE"/>
    <w:lvl w:ilvl="0" w:tentative="0">
      <w:start w:val="1"/>
      <w:numFmt w:val="decimal"/>
      <w:suff w:val="space"/>
      <w:lvlText w:val="%1."/>
      <w:lvlJc w:val="left"/>
    </w:lvl>
  </w:abstractNum>
  <w:abstractNum w:abstractNumId="2">
    <w:nsid w:val="F19B9DD3"/>
    <w:multiLevelType w:val="singleLevel"/>
    <w:tmpl w:val="F19B9DD3"/>
    <w:lvl w:ilvl="0" w:tentative="0">
      <w:start w:val="4"/>
      <w:numFmt w:val="chineseCounting"/>
      <w:suff w:val="nothing"/>
      <w:lvlText w:val="%1、"/>
      <w:lvlJc w:val="left"/>
      <w:rPr>
        <w:rFonts w:hint="eastAsia"/>
      </w:rPr>
    </w:lvl>
  </w:abstractNum>
  <w:abstractNum w:abstractNumId="3">
    <w:nsid w:val="0000000B"/>
    <w:multiLevelType w:val="multilevel"/>
    <w:tmpl w:val="0000000B"/>
    <w:lvl w:ilvl="0" w:tentative="0">
      <w:start w:val="0"/>
      <w:numFmt w:val="decimal"/>
      <w:pStyle w:val="2"/>
      <w:lvlText w:val="%1"/>
      <w:lvlJc w:val="left"/>
      <w:rPr>
        <w:rFonts w:hint="eastAsia" w:ascii="宋体" w:eastAsia="宋体"/>
      </w:rPr>
    </w:lvl>
    <w:lvl w:ilvl="1" w:tentative="0">
      <w:start w:val="0"/>
      <w:numFmt w:val="decimal"/>
      <w:pStyle w:val="3"/>
      <w:lvlText w:val="%2"/>
      <w:lvlJc w:val="left"/>
      <w:rPr>
        <w:rFonts w:hint="default" w:ascii="Times New Roman" w:hAnsi="Times New Roman"/>
      </w:rPr>
    </w:lvl>
    <w:lvl w:ilvl="2" w:tentative="0">
      <w:start w:val="0"/>
      <w:numFmt w:val="decimal"/>
      <w:pStyle w:val="4"/>
      <w:lvlText w:val="%3"/>
      <w:lvlJc w:val="left"/>
      <w:rPr>
        <w:rFonts w:hint="default" w:ascii="Times New Roman" w:hAnsi="Times New Roman"/>
      </w:rPr>
    </w:lvl>
    <w:lvl w:ilvl="3" w:tentative="0">
      <w:start w:val="0"/>
      <w:numFmt w:val="decimal"/>
      <w:pStyle w:val="5"/>
      <w:lvlText w:val="%4"/>
      <w:lvlJc w:val="left"/>
      <w:rPr>
        <w:rFonts w:hint="default" w:ascii="Times New Roman" w:hAnsi="Times New Roman"/>
      </w:rPr>
    </w:lvl>
    <w:lvl w:ilvl="4" w:tentative="0">
      <w:start w:val="0"/>
      <w:numFmt w:val="decimal"/>
      <w:pStyle w:val="6"/>
      <w:lvlText w:val="%5"/>
      <w:lvlJc w:val="left"/>
      <w:rPr>
        <w:rFonts w:hint="default" w:ascii="Times New Roman" w:hAnsi="Times New Roman"/>
      </w:rPr>
    </w:lvl>
    <w:lvl w:ilvl="5" w:tentative="0">
      <w:start w:val="0"/>
      <w:numFmt w:val="decimal"/>
      <w:pStyle w:val="7"/>
      <w:lvlText w:val="%6"/>
      <w:lvlJc w:val="left"/>
      <w:rPr>
        <w:rFonts w:hint="default" w:ascii="Times New Roman" w:hAnsi="Times New Roman"/>
      </w:rPr>
    </w:lvl>
    <w:lvl w:ilvl="6" w:tentative="0">
      <w:start w:val="0"/>
      <w:numFmt w:val="decimal"/>
      <w:pStyle w:val="8"/>
      <w:lvlText w:val="%7"/>
      <w:lvlJc w:val="left"/>
      <w:rPr>
        <w:rFonts w:hint="default" w:ascii="Times New Roman" w:hAnsi="Times New Roman"/>
      </w:rPr>
    </w:lvl>
    <w:lvl w:ilvl="7" w:tentative="0">
      <w:start w:val="0"/>
      <w:numFmt w:val="decimal"/>
      <w:pStyle w:val="9"/>
      <w:lvlText w:val="%8"/>
      <w:lvlJc w:val="left"/>
      <w:rPr>
        <w:rFonts w:hint="default" w:ascii="Times New Roman" w:hAnsi="Times New Roman"/>
      </w:rPr>
    </w:lvl>
    <w:lvl w:ilvl="8" w:tentative="0">
      <w:start w:val="0"/>
      <w:numFmt w:val="decimal"/>
      <w:pStyle w:val="10"/>
      <w:lvlText w:val="%9"/>
      <w:lvlJc w:val="left"/>
      <w:rPr>
        <w:rFonts w:hint="default" w:ascii="Times New Roman" w:hAnsi="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T5ZW54U7ZoHWz3wjH/tFtf/rq4Q=" w:salt="tYFbLjclAmZzBrKJW/iq5Q=="/>
  <w:defaultTabStop w:val="425"/>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BlZTE5YWFmZTczNTI5M2RiNGEzMDljZTEyMjcwYTUifQ=="/>
  </w:docVars>
  <w:rsids>
    <w:rsidRoot w:val="00172A27"/>
    <w:rsid w:val="00050B71"/>
    <w:rsid w:val="0008283C"/>
    <w:rsid w:val="00142F7D"/>
    <w:rsid w:val="001F7329"/>
    <w:rsid w:val="002170C8"/>
    <w:rsid w:val="002A2CA7"/>
    <w:rsid w:val="002F3588"/>
    <w:rsid w:val="00323FF7"/>
    <w:rsid w:val="00345118"/>
    <w:rsid w:val="00356102"/>
    <w:rsid w:val="00374B20"/>
    <w:rsid w:val="003A0AFC"/>
    <w:rsid w:val="00404C56"/>
    <w:rsid w:val="00460177"/>
    <w:rsid w:val="004C7B58"/>
    <w:rsid w:val="004F0CFE"/>
    <w:rsid w:val="00545275"/>
    <w:rsid w:val="005604EA"/>
    <w:rsid w:val="00564BD8"/>
    <w:rsid w:val="005A5A23"/>
    <w:rsid w:val="005B0F68"/>
    <w:rsid w:val="005C7A01"/>
    <w:rsid w:val="005F1BB9"/>
    <w:rsid w:val="005F6995"/>
    <w:rsid w:val="006D5FDF"/>
    <w:rsid w:val="00734495"/>
    <w:rsid w:val="0073569E"/>
    <w:rsid w:val="00745B8E"/>
    <w:rsid w:val="007A548B"/>
    <w:rsid w:val="008265C7"/>
    <w:rsid w:val="00856AF4"/>
    <w:rsid w:val="00977C66"/>
    <w:rsid w:val="00A169DC"/>
    <w:rsid w:val="00A6704B"/>
    <w:rsid w:val="00AD2A78"/>
    <w:rsid w:val="00AD66D2"/>
    <w:rsid w:val="00AF28B4"/>
    <w:rsid w:val="00B10247"/>
    <w:rsid w:val="00B27D90"/>
    <w:rsid w:val="00BB33D8"/>
    <w:rsid w:val="00BC219B"/>
    <w:rsid w:val="00BF3138"/>
    <w:rsid w:val="00BF39B1"/>
    <w:rsid w:val="00C01E31"/>
    <w:rsid w:val="00C33AA7"/>
    <w:rsid w:val="00C641D5"/>
    <w:rsid w:val="00C9310D"/>
    <w:rsid w:val="00CF2489"/>
    <w:rsid w:val="00D2307B"/>
    <w:rsid w:val="00D42263"/>
    <w:rsid w:val="00D5401B"/>
    <w:rsid w:val="00D656C1"/>
    <w:rsid w:val="00D6604F"/>
    <w:rsid w:val="00D84454"/>
    <w:rsid w:val="00E11B17"/>
    <w:rsid w:val="00E17E11"/>
    <w:rsid w:val="00E61392"/>
    <w:rsid w:val="00FA26BF"/>
    <w:rsid w:val="00FB2F6B"/>
    <w:rsid w:val="00FF3F3D"/>
    <w:rsid w:val="012A6BDB"/>
    <w:rsid w:val="01454B49"/>
    <w:rsid w:val="017936BE"/>
    <w:rsid w:val="018A7679"/>
    <w:rsid w:val="01B931E4"/>
    <w:rsid w:val="01B932D8"/>
    <w:rsid w:val="022F35A5"/>
    <w:rsid w:val="02B9151D"/>
    <w:rsid w:val="03304250"/>
    <w:rsid w:val="03522419"/>
    <w:rsid w:val="035F1D98"/>
    <w:rsid w:val="03A2514E"/>
    <w:rsid w:val="03AA3DBB"/>
    <w:rsid w:val="03E515B3"/>
    <w:rsid w:val="04626887"/>
    <w:rsid w:val="046E758A"/>
    <w:rsid w:val="048C2390"/>
    <w:rsid w:val="048F73AE"/>
    <w:rsid w:val="049C0A4A"/>
    <w:rsid w:val="04FB1B15"/>
    <w:rsid w:val="052272F9"/>
    <w:rsid w:val="05355B4E"/>
    <w:rsid w:val="05361589"/>
    <w:rsid w:val="06436049"/>
    <w:rsid w:val="06CC2AA8"/>
    <w:rsid w:val="07DF155C"/>
    <w:rsid w:val="07F32810"/>
    <w:rsid w:val="08397703"/>
    <w:rsid w:val="08726D91"/>
    <w:rsid w:val="08896DBD"/>
    <w:rsid w:val="088C2326"/>
    <w:rsid w:val="08B55EAC"/>
    <w:rsid w:val="08DC4C5E"/>
    <w:rsid w:val="09066C47"/>
    <w:rsid w:val="09226B16"/>
    <w:rsid w:val="096178A3"/>
    <w:rsid w:val="096C152D"/>
    <w:rsid w:val="09E162A4"/>
    <w:rsid w:val="09F45FD8"/>
    <w:rsid w:val="0AC25749"/>
    <w:rsid w:val="0B5909DB"/>
    <w:rsid w:val="0B621425"/>
    <w:rsid w:val="0B8678AD"/>
    <w:rsid w:val="0B8909A2"/>
    <w:rsid w:val="0B8F65E2"/>
    <w:rsid w:val="0C0F62C7"/>
    <w:rsid w:val="0C1E558E"/>
    <w:rsid w:val="0C6C00A7"/>
    <w:rsid w:val="0C762CD4"/>
    <w:rsid w:val="0CC25C5E"/>
    <w:rsid w:val="0CFC2B46"/>
    <w:rsid w:val="0D440477"/>
    <w:rsid w:val="0E7D2A40"/>
    <w:rsid w:val="0F4F5A5E"/>
    <w:rsid w:val="0FA745BE"/>
    <w:rsid w:val="0FD04DF1"/>
    <w:rsid w:val="0FD6126F"/>
    <w:rsid w:val="105E1E7F"/>
    <w:rsid w:val="106A1193"/>
    <w:rsid w:val="10BF06BE"/>
    <w:rsid w:val="11916802"/>
    <w:rsid w:val="136A10B9"/>
    <w:rsid w:val="13C403B4"/>
    <w:rsid w:val="13F54E26"/>
    <w:rsid w:val="148409A3"/>
    <w:rsid w:val="14AC303F"/>
    <w:rsid w:val="152F25BA"/>
    <w:rsid w:val="15482F7C"/>
    <w:rsid w:val="1667472B"/>
    <w:rsid w:val="16720B99"/>
    <w:rsid w:val="16BA5DAD"/>
    <w:rsid w:val="17125CEF"/>
    <w:rsid w:val="1795086D"/>
    <w:rsid w:val="191A3AA2"/>
    <w:rsid w:val="1A010DD8"/>
    <w:rsid w:val="1A404921"/>
    <w:rsid w:val="1B0E4A1F"/>
    <w:rsid w:val="1C0227D6"/>
    <w:rsid w:val="1D0F7636"/>
    <w:rsid w:val="1D3A1AFC"/>
    <w:rsid w:val="1D57445C"/>
    <w:rsid w:val="1D7E5E8C"/>
    <w:rsid w:val="1E65734E"/>
    <w:rsid w:val="1E7159F1"/>
    <w:rsid w:val="1EC96C7D"/>
    <w:rsid w:val="1F475001"/>
    <w:rsid w:val="1F775819"/>
    <w:rsid w:val="203F4BC2"/>
    <w:rsid w:val="21486F5C"/>
    <w:rsid w:val="218D48F0"/>
    <w:rsid w:val="2343105D"/>
    <w:rsid w:val="239E31F5"/>
    <w:rsid w:val="23B6778B"/>
    <w:rsid w:val="24226E18"/>
    <w:rsid w:val="24E52C95"/>
    <w:rsid w:val="262F065E"/>
    <w:rsid w:val="263740FC"/>
    <w:rsid w:val="26963D4E"/>
    <w:rsid w:val="26D560FD"/>
    <w:rsid w:val="27B07189"/>
    <w:rsid w:val="28047BC2"/>
    <w:rsid w:val="28090A48"/>
    <w:rsid w:val="28711387"/>
    <w:rsid w:val="28D96A50"/>
    <w:rsid w:val="290C07F0"/>
    <w:rsid w:val="2A9F3520"/>
    <w:rsid w:val="2AD03A9F"/>
    <w:rsid w:val="2B9C312B"/>
    <w:rsid w:val="2BFD1B79"/>
    <w:rsid w:val="2C896B6D"/>
    <w:rsid w:val="2CDE1521"/>
    <w:rsid w:val="2CEE4FE6"/>
    <w:rsid w:val="2D047433"/>
    <w:rsid w:val="2D1E1A80"/>
    <w:rsid w:val="2D9E3DDC"/>
    <w:rsid w:val="2E0E1AC1"/>
    <w:rsid w:val="2E2300AC"/>
    <w:rsid w:val="2E84243A"/>
    <w:rsid w:val="2EBE421C"/>
    <w:rsid w:val="2EDD10B7"/>
    <w:rsid w:val="2F397E65"/>
    <w:rsid w:val="2F4C2F10"/>
    <w:rsid w:val="30212928"/>
    <w:rsid w:val="30AC17BC"/>
    <w:rsid w:val="30B23DE4"/>
    <w:rsid w:val="30FE5BF1"/>
    <w:rsid w:val="31650B96"/>
    <w:rsid w:val="31D23C28"/>
    <w:rsid w:val="335867BC"/>
    <w:rsid w:val="33627453"/>
    <w:rsid w:val="33785EF9"/>
    <w:rsid w:val="33B40726"/>
    <w:rsid w:val="346534AA"/>
    <w:rsid w:val="35783C64"/>
    <w:rsid w:val="36132605"/>
    <w:rsid w:val="36274EBB"/>
    <w:rsid w:val="3768480B"/>
    <w:rsid w:val="377A101B"/>
    <w:rsid w:val="37816CF5"/>
    <w:rsid w:val="37B007B7"/>
    <w:rsid w:val="385B09CD"/>
    <w:rsid w:val="3941794A"/>
    <w:rsid w:val="39A731A4"/>
    <w:rsid w:val="39AA6C68"/>
    <w:rsid w:val="39AC3DAE"/>
    <w:rsid w:val="39C24EFB"/>
    <w:rsid w:val="3A7418F3"/>
    <w:rsid w:val="3BF45BCF"/>
    <w:rsid w:val="3C0E2679"/>
    <w:rsid w:val="3C866657"/>
    <w:rsid w:val="3C906EB5"/>
    <w:rsid w:val="3CB459AC"/>
    <w:rsid w:val="3D8A6036"/>
    <w:rsid w:val="3DB73909"/>
    <w:rsid w:val="3DBC30B5"/>
    <w:rsid w:val="3DD22E3D"/>
    <w:rsid w:val="3DFA2263"/>
    <w:rsid w:val="3DFE2D9A"/>
    <w:rsid w:val="3E7569E0"/>
    <w:rsid w:val="3F577277"/>
    <w:rsid w:val="40062A96"/>
    <w:rsid w:val="4055509E"/>
    <w:rsid w:val="40C80065"/>
    <w:rsid w:val="412169AB"/>
    <w:rsid w:val="4168282C"/>
    <w:rsid w:val="429474C4"/>
    <w:rsid w:val="432A5FEB"/>
    <w:rsid w:val="450C0865"/>
    <w:rsid w:val="457C3734"/>
    <w:rsid w:val="46831313"/>
    <w:rsid w:val="47151F9A"/>
    <w:rsid w:val="473C1A2D"/>
    <w:rsid w:val="47813F3D"/>
    <w:rsid w:val="478C70C6"/>
    <w:rsid w:val="48F055E1"/>
    <w:rsid w:val="494254CB"/>
    <w:rsid w:val="49452AD2"/>
    <w:rsid w:val="4ABA40F8"/>
    <w:rsid w:val="4B1959DE"/>
    <w:rsid w:val="4BC61EA0"/>
    <w:rsid w:val="4C722B5A"/>
    <w:rsid w:val="4C923DD5"/>
    <w:rsid w:val="4D827A37"/>
    <w:rsid w:val="4DED405F"/>
    <w:rsid w:val="4E4B400E"/>
    <w:rsid w:val="4E8812BF"/>
    <w:rsid w:val="4ECC30C5"/>
    <w:rsid w:val="4EFD5581"/>
    <w:rsid w:val="4F0B2B6C"/>
    <w:rsid w:val="4F18319B"/>
    <w:rsid w:val="4F607AAC"/>
    <w:rsid w:val="4FA57CEC"/>
    <w:rsid w:val="504B73BC"/>
    <w:rsid w:val="51D1054B"/>
    <w:rsid w:val="5268443A"/>
    <w:rsid w:val="52C2471C"/>
    <w:rsid w:val="53356930"/>
    <w:rsid w:val="541B6B71"/>
    <w:rsid w:val="54B7494F"/>
    <w:rsid w:val="54E80CEB"/>
    <w:rsid w:val="54F3789A"/>
    <w:rsid w:val="55045F32"/>
    <w:rsid w:val="55E07531"/>
    <w:rsid w:val="55F51726"/>
    <w:rsid w:val="56D9340B"/>
    <w:rsid w:val="57EE7D43"/>
    <w:rsid w:val="581B6ADB"/>
    <w:rsid w:val="589E630B"/>
    <w:rsid w:val="58F2406B"/>
    <w:rsid w:val="592D018B"/>
    <w:rsid w:val="5A250E62"/>
    <w:rsid w:val="5A353115"/>
    <w:rsid w:val="5B82298C"/>
    <w:rsid w:val="5DAA6B9B"/>
    <w:rsid w:val="5E156C74"/>
    <w:rsid w:val="5EC9238C"/>
    <w:rsid w:val="5EE10A83"/>
    <w:rsid w:val="5F8513F4"/>
    <w:rsid w:val="5FB50238"/>
    <w:rsid w:val="6032262A"/>
    <w:rsid w:val="60A85043"/>
    <w:rsid w:val="60EC4488"/>
    <w:rsid w:val="61D75AA4"/>
    <w:rsid w:val="61FD57FA"/>
    <w:rsid w:val="63140847"/>
    <w:rsid w:val="634728BB"/>
    <w:rsid w:val="63936E3D"/>
    <w:rsid w:val="640970FF"/>
    <w:rsid w:val="64344C0C"/>
    <w:rsid w:val="644014F5"/>
    <w:rsid w:val="6466032C"/>
    <w:rsid w:val="658253BB"/>
    <w:rsid w:val="65FF07B9"/>
    <w:rsid w:val="667F18FA"/>
    <w:rsid w:val="66DF78C5"/>
    <w:rsid w:val="67D91AAF"/>
    <w:rsid w:val="67D961F7"/>
    <w:rsid w:val="6A226581"/>
    <w:rsid w:val="6A820A78"/>
    <w:rsid w:val="6B6D4417"/>
    <w:rsid w:val="6BD555C8"/>
    <w:rsid w:val="6BF411E0"/>
    <w:rsid w:val="6C0407D9"/>
    <w:rsid w:val="6C103720"/>
    <w:rsid w:val="6CDC3602"/>
    <w:rsid w:val="6D2A3F3B"/>
    <w:rsid w:val="6DD724AF"/>
    <w:rsid w:val="6DD95D94"/>
    <w:rsid w:val="6E1948FB"/>
    <w:rsid w:val="6E781A51"/>
    <w:rsid w:val="6E7C2AF5"/>
    <w:rsid w:val="6EAE7221"/>
    <w:rsid w:val="6F7A732F"/>
    <w:rsid w:val="6F984159"/>
    <w:rsid w:val="6FC66B71"/>
    <w:rsid w:val="70244156"/>
    <w:rsid w:val="703D1974"/>
    <w:rsid w:val="713C641F"/>
    <w:rsid w:val="714E6FC3"/>
    <w:rsid w:val="71FB1CF1"/>
    <w:rsid w:val="7293486A"/>
    <w:rsid w:val="72E442F1"/>
    <w:rsid w:val="73506AF8"/>
    <w:rsid w:val="73970283"/>
    <w:rsid w:val="74381A66"/>
    <w:rsid w:val="74444784"/>
    <w:rsid w:val="75033B4B"/>
    <w:rsid w:val="75C90BC7"/>
    <w:rsid w:val="75CA7EAB"/>
    <w:rsid w:val="76775D4E"/>
    <w:rsid w:val="76AF7FDA"/>
    <w:rsid w:val="76CE1F2E"/>
    <w:rsid w:val="76E75FFA"/>
    <w:rsid w:val="77FC35F8"/>
    <w:rsid w:val="780E6A03"/>
    <w:rsid w:val="781A1483"/>
    <w:rsid w:val="78586805"/>
    <w:rsid w:val="785C6784"/>
    <w:rsid w:val="7973709D"/>
    <w:rsid w:val="799C581E"/>
    <w:rsid w:val="79EB30D7"/>
    <w:rsid w:val="7A990696"/>
    <w:rsid w:val="7AE53A4B"/>
    <w:rsid w:val="7C0E57A2"/>
    <w:rsid w:val="7C2D5957"/>
    <w:rsid w:val="7D126BCC"/>
    <w:rsid w:val="7D3134F6"/>
    <w:rsid w:val="7D4815FD"/>
    <w:rsid w:val="7D4D1DE7"/>
    <w:rsid w:val="7DB30237"/>
    <w:rsid w:val="7E31646A"/>
    <w:rsid w:val="7EA36676"/>
    <w:rsid w:val="7EC42148"/>
    <w:rsid w:val="7EDF1DA4"/>
    <w:rsid w:val="7F1660C9"/>
    <w:rsid w:val="7F221B2F"/>
    <w:rsid w:val="7F7220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1"/>
      <w:lang w:val="en-US" w:eastAsia="zh-CN" w:bidi="ar-SA"/>
    </w:rPr>
  </w:style>
  <w:style w:type="paragraph" w:styleId="2">
    <w:name w:val="heading 1"/>
    <w:basedOn w:val="1"/>
    <w:next w:val="1"/>
    <w:link w:val="28"/>
    <w:qFormat/>
    <w:uiPriority w:val="0"/>
    <w:pPr>
      <w:keepNext/>
      <w:keepLines/>
      <w:numPr>
        <w:ilvl w:val="0"/>
        <w:numId w:val="1"/>
      </w:numPr>
      <w:adjustRightInd w:val="0"/>
      <w:spacing w:before="340" w:beforeLines="0" w:after="330" w:afterLines="0" w:line="578" w:lineRule="atLeast"/>
      <w:textAlignment w:val="baseline"/>
      <w:outlineLvl w:val="0"/>
    </w:pPr>
    <w:rPr>
      <w:b/>
      <w:bCs/>
      <w:kern w:val="44"/>
      <w:sz w:val="44"/>
      <w:szCs w:val="44"/>
    </w:rPr>
  </w:style>
  <w:style w:type="paragraph" w:styleId="3">
    <w:name w:val="heading 2"/>
    <w:basedOn w:val="1"/>
    <w:next w:val="1"/>
    <w:link w:val="29"/>
    <w:qFormat/>
    <w:uiPriority w:val="0"/>
    <w:pPr>
      <w:keepNext/>
      <w:keepLines/>
      <w:numPr>
        <w:ilvl w:val="1"/>
        <w:numId w:val="1"/>
      </w:numPr>
      <w:adjustRightInd w:val="0"/>
      <w:spacing w:before="260" w:beforeLines="0" w:after="260" w:afterLines="0" w:line="416" w:lineRule="atLeast"/>
      <w:textAlignment w:val="baseline"/>
      <w:outlineLvl w:val="1"/>
    </w:pPr>
    <w:rPr>
      <w:rFonts w:ascii="Cambria" w:hAnsi="Cambria"/>
      <w:b/>
      <w:bCs/>
      <w:sz w:val="32"/>
      <w:szCs w:val="32"/>
    </w:rPr>
  </w:style>
  <w:style w:type="paragraph" w:styleId="4">
    <w:name w:val="heading 3"/>
    <w:basedOn w:val="1"/>
    <w:next w:val="1"/>
    <w:link w:val="30"/>
    <w:qFormat/>
    <w:uiPriority w:val="0"/>
    <w:pPr>
      <w:keepNext/>
      <w:keepLines/>
      <w:numPr>
        <w:ilvl w:val="2"/>
        <w:numId w:val="1"/>
      </w:numPr>
      <w:adjustRightInd w:val="0"/>
      <w:spacing w:before="260" w:beforeLines="0" w:after="260" w:afterLines="0" w:line="416" w:lineRule="atLeast"/>
      <w:textAlignment w:val="baseline"/>
      <w:outlineLvl w:val="2"/>
    </w:pPr>
    <w:rPr>
      <w:b/>
      <w:bCs/>
      <w:sz w:val="32"/>
      <w:szCs w:val="32"/>
    </w:rPr>
  </w:style>
  <w:style w:type="paragraph" w:styleId="5">
    <w:name w:val="heading 4"/>
    <w:basedOn w:val="1"/>
    <w:next w:val="1"/>
    <w:link w:val="31"/>
    <w:qFormat/>
    <w:uiPriority w:val="0"/>
    <w:pPr>
      <w:keepNext/>
      <w:keepLines/>
      <w:numPr>
        <w:ilvl w:val="3"/>
        <w:numId w:val="1"/>
      </w:numPr>
      <w:adjustRightInd w:val="0"/>
      <w:spacing w:before="280" w:beforeLines="0" w:after="290" w:afterLines="0" w:line="376" w:lineRule="atLeast"/>
      <w:textAlignment w:val="baseline"/>
      <w:outlineLvl w:val="3"/>
    </w:pPr>
    <w:rPr>
      <w:rFonts w:ascii="Cambria" w:hAnsi="Cambria"/>
      <w:b/>
      <w:bCs/>
      <w:sz w:val="28"/>
      <w:szCs w:val="28"/>
    </w:rPr>
  </w:style>
  <w:style w:type="paragraph" w:styleId="6">
    <w:name w:val="heading 5"/>
    <w:basedOn w:val="1"/>
    <w:next w:val="1"/>
    <w:link w:val="32"/>
    <w:qFormat/>
    <w:uiPriority w:val="0"/>
    <w:pPr>
      <w:keepNext/>
      <w:keepLines/>
      <w:numPr>
        <w:ilvl w:val="4"/>
        <w:numId w:val="1"/>
      </w:numPr>
      <w:adjustRightInd w:val="0"/>
      <w:spacing w:before="280" w:beforeLines="0" w:after="290" w:afterLines="0" w:line="376" w:lineRule="atLeast"/>
      <w:textAlignment w:val="baseline"/>
      <w:outlineLvl w:val="4"/>
    </w:pPr>
    <w:rPr>
      <w:b/>
      <w:bCs/>
      <w:sz w:val="28"/>
      <w:szCs w:val="28"/>
    </w:rPr>
  </w:style>
  <w:style w:type="paragraph" w:styleId="7">
    <w:name w:val="heading 6"/>
    <w:basedOn w:val="1"/>
    <w:next w:val="1"/>
    <w:link w:val="33"/>
    <w:qFormat/>
    <w:uiPriority w:val="0"/>
    <w:pPr>
      <w:keepNext/>
      <w:keepLines/>
      <w:numPr>
        <w:ilvl w:val="5"/>
        <w:numId w:val="1"/>
      </w:numPr>
      <w:adjustRightInd w:val="0"/>
      <w:spacing w:before="240" w:beforeLines="0" w:after="64" w:afterLines="0" w:line="320" w:lineRule="atLeast"/>
      <w:textAlignment w:val="baseline"/>
      <w:outlineLvl w:val="5"/>
    </w:pPr>
    <w:rPr>
      <w:rFonts w:ascii="Cambria" w:hAnsi="Cambria"/>
      <w:b/>
      <w:bCs/>
      <w:sz w:val="24"/>
      <w:szCs w:val="24"/>
    </w:rPr>
  </w:style>
  <w:style w:type="paragraph" w:styleId="8">
    <w:name w:val="heading 7"/>
    <w:basedOn w:val="1"/>
    <w:next w:val="1"/>
    <w:link w:val="34"/>
    <w:qFormat/>
    <w:uiPriority w:val="0"/>
    <w:pPr>
      <w:keepNext/>
      <w:keepLines/>
      <w:numPr>
        <w:ilvl w:val="6"/>
        <w:numId w:val="1"/>
      </w:numPr>
      <w:adjustRightInd w:val="0"/>
      <w:spacing w:before="240" w:beforeLines="0" w:after="64" w:afterLines="0" w:line="320" w:lineRule="atLeast"/>
      <w:textAlignment w:val="baseline"/>
      <w:outlineLvl w:val="6"/>
    </w:pPr>
    <w:rPr>
      <w:b/>
      <w:bCs/>
      <w:sz w:val="24"/>
      <w:szCs w:val="24"/>
    </w:rPr>
  </w:style>
  <w:style w:type="paragraph" w:styleId="9">
    <w:name w:val="heading 8"/>
    <w:basedOn w:val="1"/>
    <w:next w:val="1"/>
    <w:link w:val="35"/>
    <w:qFormat/>
    <w:uiPriority w:val="0"/>
    <w:pPr>
      <w:keepNext/>
      <w:keepLines/>
      <w:numPr>
        <w:ilvl w:val="7"/>
        <w:numId w:val="1"/>
      </w:numPr>
      <w:adjustRightInd w:val="0"/>
      <w:spacing w:before="240" w:beforeLines="0" w:after="64" w:afterLines="0" w:line="320" w:lineRule="atLeast"/>
      <w:textAlignment w:val="baseline"/>
      <w:outlineLvl w:val="7"/>
    </w:pPr>
    <w:rPr>
      <w:rFonts w:ascii="Cambria" w:hAnsi="Cambria"/>
      <w:sz w:val="24"/>
      <w:szCs w:val="24"/>
    </w:rPr>
  </w:style>
  <w:style w:type="paragraph" w:styleId="10">
    <w:name w:val="heading 9"/>
    <w:basedOn w:val="1"/>
    <w:next w:val="1"/>
    <w:link w:val="36"/>
    <w:qFormat/>
    <w:uiPriority w:val="0"/>
    <w:pPr>
      <w:keepNext/>
      <w:keepLines/>
      <w:numPr>
        <w:ilvl w:val="8"/>
        <w:numId w:val="1"/>
      </w:numPr>
      <w:adjustRightInd w:val="0"/>
      <w:spacing w:before="240" w:beforeLines="0" w:after="64" w:afterLines="0" w:line="320" w:lineRule="atLeast"/>
      <w:textAlignment w:val="baseline"/>
      <w:outlineLvl w:val="8"/>
    </w:pPr>
    <w:rPr>
      <w:rFonts w:ascii="Cambria" w:hAnsi="Cambria"/>
    </w:rPr>
  </w:style>
  <w:style w:type="character" w:default="1" w:styleId="23">
    <w:name w:val="Default Paragraph Font"/>
    <w:uiPriority w:val="0"/>
  </w:style>
  <w:style w:type="table" w:default="1" w:styleId="21">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21"/>
      <w:tblCellMar>
        <w:top w:w="0" w:type="dxa"/>
        <w:left w:w="108" w:type="dxa"/>
        <w:bottom w:w="0" w:type="dxa"/>
        <w:right w:w="108" w:type="dxa"/>
      </w:tblCellMar>
    </w:tblPr>
  </w:style>
  <w:style w:type="paragraph" w:styleId="11">
    <w:name w:val="annotation text"/>
    <w:basedOn w:val="1"/>
    <w:link w:val="37"/>
    <w:uiPriority w:val="0"/>
    <w:pPr>
      <w:jc w:val="left"/>
    </w:pPr>
    <w:rPr>
      <w:kern w:val="0"/>
    </w:rPr>
  </w:style>
  <w:style w:type="paragraph" w:styleId="12">
    <w:name w:val="Body Text"/>
    <w:basedOn w:val="1"/>
    <w:link w:val="38"/>
    <w:uiPriority w:val="0"/>
  </w:style>
  <w:style w:type="paragraph" w:styleId="13">
    <w:name w:val="Body Text Indent"/>
    <w:basedOn w:val="1"/>
    <w:link w:val="39"/>
    <w:uiPriority w:val="0"/>
    <w:pPr>
      <w:ind w:left="-141"/>
    </w:pPr>
  </w:style>
  <w:style w:type="paragraph" w:styleId="14">
    <w:name w:val="Plain Text"/>
    <w:basedOn w:val="1"/>
    <w:uiPriority w:val="0"/>
    <w:rPr>
      <w:rFonts w:ascii="宋体" w:hAnsi="Courier New"/>
      <w:kern w:val="2"/>
      <w:sz w:val="21"/>
    </w:rPr>
  </w:style>
  <w:style w:type="paragraph" w:styleId="15">
    <w:name w:val="Body Text Indent 2"/>
    <w:basedOn w:val="1"/>
    <w:link w:val="40"/>
    <w:uiPriority w:val="0"/>
    <w:pPr>
      <w:adjustRightInd w:val="0"/>
      <w:snapToGrid w:val="0"/>
      <w:spacing w:line="320" w:lineRule="exact"/>
      <w:ind w:left="-21" w:leftChars="-10" w:firstLine="21" w:firstLineChars="10"/>
    </w:pPr>
  </w:style>
  <w:style w:type="paragraph" w:styleId="16">
    <w:name w:val="Balloon Text"/>
    <w:basedOn w:val="1"/>
    <w:link w:val="41"/>
    <w:uiPriority w:val="0"/>
    <w:rPr>
      <w:sz w:val="2"/>
      <w:szCs w:val="2"/>
    </w:rPr>
  </w:style>
  <w:style w:type="paragraph" w:styleId="17">
    <w:name w:val="footer"/>
    <w:basedOn w:val="1"/>
    <w:link w:val="42"/>
    <w:uiPriority w:val="0"/>
    <w:pPr>
      <w:tabs>
        <w:tab w:val="center" w:pos="4153"/>
        <w:tab w:val="right" w:pos="8306"/>
      </w:tabs>
      <w:adjustRightInd w:val="0"/>
      <w:spacing w:line="240" w:lineRule="atLeast"/>
      <w:jc w:val="left"/>
      <w:textAlignment w:val="baseline"/>
    </w:pPr>
    <w:rPr>
      <w:sz w:val="18"/>
      <w:szCs w:val="18"/>
    </w:rPr>
  </w:style>
  <w:style w:type="paragraph" w:styleId="18">
    <w:name w:val="header"/>
    <w:basedOn w:val="1"/>
    <w:link w:val="43"/>
    <w:uiPriority w:val="0"/>
    <w:pPr>
      <w:pBdr>
        <w:bottom w:val="single" w:color="auto" w:sz="6" w:space="1"/>
      </w:pBdr>
      <w:tabs>
        <w:tab w:val="center" w:pos="4153"/>
        <w:tab w:val="right" w:pos="8306"/>
      </w:tabs>
      <w:adjustRightInd w:val="0"/>
      <w:spacing w:line="240" w:lineRule="atLeast"/>
      <w:jc w:val="center"/>
      <w:textAlignment w:val="baseline"/>
    </w:pPr>
    <w:rPr>
      <w:sz w:val="18"/>
      <w:szCs w:val="18"/>
    </w:rPr>
  </w:style>
  <w:style w:type="paragraph" w:styleId="19">
    <w:name w:val="Body Text 2"/>
    <w:basedOn w:val="1"/>
    <w:link w:val="44"/>
    <w:uiPriority w:val="0"/>
    <w:pPr>
      <w:spacing w:line="360" w:lineRule="auto"/>
    </w:pPr>
  </w:style>
  <w:style w:type="paragraph" w:styleId="20">
    <w:name w:val="annotation subject"/>
    <w:basedOn w:val="11"/>
    <w:next w:val="11"/>
    <w:link w:val="45"/>
    <w:uiPriority w:val="0"/>
    <w:rPr>
      <w:b/>
      <w:bCs/>
    </w:rPr>
  </w:style>
  <w:style w:type="table" w:styleId="22">
    <w:name w:val="Table Grid"/>
    <w:basedOn w:val="21"/>
    <w:qFormat/>
    <w:uiPriority w:val="59"/>
    <w:tblPr>
      <w:tblStyle w:val="2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uiPriority w:val="0"/>
  </w:style>
  <w:style w:type="character" w:styleId="25">
    <w:name w:val="Emphasis"/>
    <w:qFormat/>
    <w:uiPriority w:val="0"/>
    <w:rPr>
      <w:i/>
    </w:rPr>
  </w:style>
  <w:style w:type="character" w:styleId="26">
    <w:name w:val="Hyperlink"/>
    <w:uiPriority w:val="0"/>
    <w:rPr>
      <w:color w:val="0000FF"/>
      <w:u w:val="single"/>
    </w:rPr>
  </w:style>
  <w:style w:type="character" w:styleId="27">
    <w:name w:val="annotation reference"/>
    <w:uiPriority w:val="0"/>
    <w:rPr>
      <w:sz w:val="21"/>
      <w:szCs w:val="21"/>
    </w:rPr>
  </w:style>
  <w:style w:type="character" w:customStyle="1" w:styleId="28">
    <w:name w:val="标题 1 字符"/>
    <w:link w:val="2"/>
    <w:uiPriority w:val="0"/>
    <w:rPr>
      <w:b/>
      <w:bCs/>
      <w:kern w:val="44"/>
      <w:sz w:val="44"/>
      <w:szCs w:val="44"/>
    </w:rPr>
  </w:style>
  <w:style w:type="character" w:customStyle="1" w:styleId="29">
    <w:name w:val="标题 2 字符"/>
    <w:link w:val="3"/>
    <w:uiPriority w:val="0"/>
    <w:rPr>
      <w:rFonts w:ascii="Cambria" w:hAnsi="Cambria" w:eastAsia="宋体" w:cs="Cambria"/>
      <w:b/>
      <w:bCs/>
      <w:kern w:val="2"/>
      <w:sz w:val="32"/>
      <w:szCs w:val="32"/>
    </w:rPr>
  </w:style>
  <w:style w:type="character" w:customStyle="1" w:styleId="30">
    <w:name w:val="标题 3 字符"/>
    <w:link w:val="4"/>
    <w:uiPriority w:val="0"/>
    <w:rPr>
      <w:b/>
      <w:bCs/>
      <w:kern w:val="2"/>
      <w:sz w:val="32"/>
      <w:szCs w:val="32"/>
    </w:rPr>
  </w:style>
  <w:style w:type="character" w:customStyle="1" w:styleId="31">
    <w:name w:val="标题 4 字符"/>
    <w:link w:val="5"/>
    <w:uiPriority w:val="0"/>
    <w:rPr>
      <w:rFonts w:ascii="Cambria" w:hAnsi="Cambria" w:eastAsia="宋体" w:cs="Cambria"/>
      <w:b/>
      <w:bCs/>
      <w:kern w:val="2"/>
      <w:sz w:val="28"/>
      <w:szCs w:val="28"/>
    </w:rPr>
  </w:style>
  <w:style w:type="character" w:customStyle="1" w:styleId="32">
    <w:name w:val="标题 5 字符"/>
    <w:link w:val="6"/>
    <w:uiPriority w:val="0"/>
    <w:rPr>
      <w:b/>
      <w:bCs/>
      <w:kern w:val="2"/>
      <w:sz w:val="28"/>
      <w:szCs w:val="28"/>
    </w:rPr>
  </w:style>
  <w:style w:type="character" w:customStyle="1" w:styleId="33">
    <w:name w:val="标题 6 字符"/>
    <w:link w:val="7"/>
    <w:uiPriority w:val="0"/>
    <w:rPr>
      <w:rFonts w:ascii="Cambria" w:hAnsi="Cambria" w:eastAsia="宋体" w:cs="Cambria"/>
      <w:b/>
      <w:bCs/>
      <w:kern w:val="2"/>
      <w:sz w:val="24"/>
      <w:szCs w:val="24"/>
    </w:rPr>
  </w:style>
  <w:style w:type="character" w:customStyle="1" w:styleId="34">
    <w:name w:val="标题 7 字符"/>
    <w:link w:val="8"/>
    <w:uiPriority w:val="0"/>
    <w:rPr>
      <w:b/>
      <w:bCs/>
      <w:kern w:val="2"/>
      <w:sz w:val="24"/>
      <w:szCs w:val="24"/>
    </w:rPr>
  </w:style>
  <w:style w:type="character" w:customStyle="1" w:styleId="35">
    <w:name w:val="标题 8 字符"/>
    <w:link w:val="9"/>
    <w:uiPriority w:val="0"/>
    <w:rPr>
      <w:rFonts w:ascii="Cambria" w:hAnsi="Cambria" w:eastAsia="宋体" w:cs="Cambria"/>
      <w:kern w:val="2"/>
      <w:sz w:val="24"/>
      <w:szCs w:val="24"/>
    </w:rPr>
  </w:style>
  <w:style w:type="character" w:customStyle="1" w:styleId="36">
    <w:name w:val="标题 9 字符"/>
    <w:link w:val="10"/>
    <w:uiPriority w:val="0"/>
    <w:rPr>
      <w:rFonts w:ascii="Cambria" w:hAnsi="Cambria" w:eastAsia="宋体" w:cs="Cambria"/>
      <w:kern w:val="2"/>
      <w:sz w:val="21"/>
      <w:szCs w:val="21"/>
    </w:rPr>
  </w:style>
  <w:style w:type="character" w:customStyle="1" w:styleId="37">
    <w:name w:val="批注文字 字符"/>
    <w:link w:val="11"/>
    <w:uiPriority w:val="0"/>
    <w:rPr>
      <w:sz w:val="21"/>
      <w:szCs w:val="21"/>
    </w:rPr>
  </w:style>
  <w:style w:type="character" w:customStyle="1" w:styleId="38">
    <w:name w:val="正文文本 字符"/>
    <w:link w:val="12"/>
    <w:uiPriority w:val="0"/>
    <w:rPr>
      <w:kern w:val="2"/>
      <w:sz w:val="21"/>
      <w:szCs w:val="21"/>
    </w:rPr>
  </w:style>
  <w:style w:type="character" w:customStyle="1" w:styleId="39">
    <w:name w:val="正文文本缩进 字符"/>
    <w:link w:val="13"/>
    <w:uiPriority w:val="0"/>
    <w:rPr>
      <w:kern w:val="2"/>
      <w:sz w:val="21"/>
      <w:szCs w:val="21"/>
    </w:rPr>
  </w:style>
  <w:style w:type="character" w:customStyle="1" w:styleId="40">
    <w:name w:val="正文文本缩进 2 字符"/>
    <w:link w:val="15"/>
    <w:uiPriority w:val="0"/>
    <w:rPr>
      <w:kern w:val="2"/>
      <w:sz w:val="21"/>
      <w:szCs w:val="21"/>
    </w:rPr>
  </w:style>
  <w:style w:type="character" w:customStyle="1" w:styleId="41">
    <w:name w:val="批注框文本 字符"/>
    <w:link w:val="16"/>
    <w:uiPriority w:val="0"/>
    <w:rPr>
      <w:kern w:val="2"/>
      <w:sz w:val="2"/>
      <w:szCs w:val="2"/>
    </w:rPr>
  </w:style>
  <w:style w:type="character" w:customStyle="1" w:styleId="42">
    <w:name w:val="页脚 字符"/>
    <w:link w:val="17"/>
    <w:uiPriority w:val="0"/>
    <w:rPr>
      <w:kern w:val="2"/>
      <w:sz w:val="18"/>
      <w:szCs w:val="18"/>
    </w:rPr>
  </w:style>
  <w:style w:type="character" w:customStyle="1" w:styleId="43">
    <w:name w:val="页眉 字符"/>
    <w:link w:val="18"/>
    <w:uiPriority w:val="0"/>
    <w:rPr>
      <w:kern w:val="2"/>
      <w:sz w:val="18"/>
      <w:szCs w:val="18"/>
    </w:rPr>
  </w:style>
  <w:style w:type="character" w:customStyle="1" w:styleId="44">
    <w:name w:val="正文文本 2 字符"/>
    <w:link w:val="19"/>
    <w:uiPriority w:val="0"/>
    <w:rPr>
      <w:kern w:val="2"/>
      <w:sz w:val="21"/>
      <w:szCs w:val="21"/>
    </w:rPr>
  </w:style>
  <w:style w:type="character" w:customStyle="1" w:styleId="45">
    <w:name w:val="批注主题 字符"/>
    <w:link w:val="20"/>
    <w:uiPriority w:val="0"/>
    <w:rPr>
      <w:b/>
      <w:bCs/>
      <w:sz w:val="21"/>
      <w:szCs w:val="21"/>
    </w:rPr>
  </w:style>
  <w:style w:type="paragraph" w:styleId="46">
    <w:name w:val=""/>
    <w:uiPriority w:val="0"/>
    <w:rPr>
      <w:kern w:val="2"/>
      <w:sz w:val="21"/>
      <w:szCs w:val="21"/>
      <w:lang w:val="en-US" w:eastAsia="zh-CN" w:bidi="ar-SA"/>
    </w:rPr>
  </w:style>
  <w:style w:type="paragraph" w:customStyle="1" w:styleId="47">
    <w:name w:val="Default"/>
    <w:uiPriority w:val="0"/>
    <w:pPr>
      <w:widowControl w:val="0"/>
      <w:autoSpaceDE w:val="0"/>
      <w:autoSpaceDN w:val="0"/>
      <w:adjustRightInd w:val="0"/>
    </w:pPr>
    <w:rPr>
      <w:rFonts w:ascii="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3424</Words>
  <Characters>3618</Characters>
  <Lines>107</Lines>
  <Paragraphs>116</Paragraphs>
  <TotalTime>11</TotalTime>
  <ScaleCrop>false</ScaleCrop>
  <LinksUpToDate>false</LinksUpToDate>
  <CharactersWithSpaces>3998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2019-04-18T09:19:00Z</dcterms:created>
  <dc:creator>刘静/质量管理部/体系认证部/CQC/aqsiq</dc:creator>
  <cp:lastModifiedBy>中坛认证-游曼</cp:lastModifiedBy>
  <cp:lastPrinted>2025-04-22T03:22:00Z</cp:lastPrinted>
  <dcterms:modified xsi:type="dcterms:W3CDTF">2026-01-06T03:25:37Z</dcterms:modified>
  <dc:title>管 理 体 系 认 证 合 同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4AEDC4773D9042C29F5519ADE343EF7A_13</vt:lpwstr>
  </property>
  <property fmtid="{D5CDD505-2E9C-101B-9397-08002B2CF9AE}" pid="4" name="KSOTemplateDocerSaveRecord">
    <vt:lpwstr>eyJoZGlkIjoiYjBlZTE5YWFmZTczNTI5M2RiNGEzMDljZTEyMjcwYTUiLCJ1c2VySWQiOiIxNjQ0ODYzMzk1In0=</vt:lpwstr>
  </property>
</Properties>
</file>